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B0B85">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600" w:lineRule="exact"/>
        <w:ind w:right="0" w:rightChars="0"/>
        <w:jc w:val="both"/>
        <w:textAlignment w:val="auto"/>
        <w:rPr>
          <w:rFonts w:hint="eastAsia" w:ascii="Times New Roman" w:hAnsi="Times New Roman" w:eastAsia="黑体" w:cs="Times New Roman"/>
          <w:color w:val="auto"/>
          <w:kern w:val="2"/>
          <w:sz w:val="32"/>
          <w:szCs w:val="32"/>
          <w:highlight w:val="none"/>
          <w:lang w:val="en-US" w:eastAsia="zh-CN"/>
        </w:rPr>
      </w:pPr>
      <w:r>
        <w:rPr>
          <w:rFonts w:hint="eastAsia" w:ascii="Times New Roman" w:hAnsi="Times New Roman" w:eastAsia="黑体" w:cs="Times New Roman"/>
          <w:color w:val="auto"/>
          <w:kern w:val="2"/>
          <w:sz w:val="32"/>
          <w:szCs w:val="32"/>
          <w:highlight w:val="none"/>
          <w:lang w:val="en-US" w:eastAsia="zh-CN"/>
        </w:rPr>
        <w:t>附件1</w:t>
      </w:r>
    </w:p>
    <w:p w14:paraId="26BA0E5A">
      <w:pPr>
        <w:pStyle w:val="2"/>
        <w:keepNext w:val="0"/>
        <w:keepLines w:val="0"/>
        <w:spacing w:before="0" w:after="0" w:line="600" w:lineRule="exact"/>
        <w:rPr>
          <w:rFonts w:hint="default"/>
          <w:lang w:val="en-US" w:eastAsia="zh-CN"/>
        </w:rPr>
      </w:pPr>
    </w:p>
    <w:p w14:paraId="4F44F5F9">
      <w:pPr>
        <w:keepNext w:val="0"/>
        <w:keepLines w:val="0"/>
        <w:pageBreakBefore w:val="0"/>
        <w:widowControl w:val="0"/>
        <w:suppressAutoHyphens/>
        <w:kinsoku/>
        <w:wordWrap/>
        <w:overflowPunct/>
        <w:topLinePunct w:val="0"/>
        <w:autoSpaceDE/>
        <w:autoSpaceDN/>
        <w:bidi w:val="0"/>
        <w:adjustRightInd/>
        <w:snapToGrid/>
        <w:spacing w:beforeLines="0" w:afterLines="0" w:line="590" w:lineRule="exact"/>
        <w:ind w:left="0" w:leftChars="0" w:firstLine="0" w:firstLineChars="0"/>
        <w:jc w:val="center"/>
        <w:textAlignment w:val="auto"/>
        <w:rPr>
          <w:rFonts w:hint="eastAsia" w:ascii="Times New Roman" w:hAnsi="Times New Roman" w:eastAsia="方正小标宋_GBK" w:cs="Times New Roman"/>
          <w:snapToGrid w:val="0"/>
          <w:color w:val="auto"/>
          <w:kern w:val="0"/>
          <w:sz w:val="44"/>
          <w:szCs w:val="44"/>
          <w:highlight w:val="none"/>
          <w:lang w:val="en-US" w:eastAsia="zh-CN"/>
        </w:rPr>
      </w:pPr>
      <w:r>
        <w:rPr>
          <w:rFonts w:hint="eastAsia" w:ascii="Times New Roman" w:hAnsi="Times New Roman" w:eastAsia="方正小标宋_GBK" w:cs="Times New Roman"/>
          <w:snapToGrid w:val="0"/>
          <w:color w:val="auto"/>
          <w:kern w:val="0"/>
          <w:sz w:val="44"/>
          <w:szCs w:val="44"/>
          <w:highlight w:val="none"/>
        </w:rPr>
        <w:t>安徽省</w:t>
      </w:r>
      <w:r>
        <w:rPr>
          <w:rFonts w:hint="eastAsia" w:ascii="Times New Roman" w:hAnsi="Times New Roman" w:eastAsia="方正小标宋_GBK" w:cs="Times New Roman"/>
          <w:snapToGrid w:val="0"/>
          <w:color w:val="auto"/>
          <w:kern w:val="0"/>
          <w:sz w:val="44"/>
          <w:szCs w:val="44"/>
          <w:highlight w:val="none"/>
          <w:lang w:val="en-US" w:eastAsia="zh-CN"/>
        </w:rPr>
        <w:t>科技服务业创新发展集聚区</w:t>
      </w:r>
    </w:p>
    <w:p w14:paraId="1B43CC85">
      <w:pPr>
        <w:keepNext w:val="0"/>
        <w:keepLines w:val="0"/>
        <w:pageBreakBefore w:val="0"/>
        <w:widowControl w:val="0"/>
        <w:suppressAutoHyphens/>
        <w:kinsoku/>
        <w:wordWrap/>
        <w:overflowPunct/>
        <w:topLinePunct w:val="0"/>
        <w:autoSpaceDE/>
        <w:autoSpaceDN/>
        <w:bidi w:val="0"/>
        <w:adjustRightInd/>
        <w:snapToGrid/>
        <w:spacing w:beforeLines="0" w:afterLines="0" w:line="590" w:lineRule="exact"/>
        <w:ind w:left="0" w:leftChars="0" w:firstLine="0" w:firstLineChars="0"/>
        <w:jc w:val="center"/>
        <w:textAlignment w:val="auto"/>
        <w:rPr>
          <w:rFonts w:hint="eastAsia" w:ascii="Times New Roman" w:hAnsi="Times New Roman" w:eastAsia="方正小标宋_GBK" w:cs="Times New Roman"/>
          <w:snapToGrid w:val="0"/>
          <w:color w:val="auto"/>
          <w:kern w:val="0"/>
          <w:sz w:val="44"/>
          <w:szCs w:val="44"/>
          <w:highlight w:val="none"/>
          <w:lang w:val="en-US" w:eastAsia="zh-CN"/>
        </w:rPr>
      </w:pPr>
      <w:r>
        <w:rPr>
          <w:rFonts w:hint="eastAsia" w:ascii="Times New Roman" w:hAnsi="Times New Roman" w:eastAsia="方正小标宋_GBK" w:cs="Times New Roman"/>
          <w:snapToGrid w:val="0"/>
          <w:color w:val="auto"/>
          <w:kern w:val="0"/>
          <w:sz w:val="44"/>
          <w:szCs w:val="44"/>
          <w:highlight w:val="none"/>
          <w:lang w:val="en-US" w:eastAsia="zh-CN"/>
        </w:rPr>
        <w:t>建设管理办法（试行）</w:t>
      </w:r>
    </w:p>
    <w:p w14:paraId="4D843A47">
      <w:pPr>
        <w:keepNext w:val="0"/>
        <w:keepLines w:val="0"/>
        <w:pageBreakBefore w:val="0"/>
        <w:widowControl w:val="0"/>
        <w:suppressAutoHyphens/>
        <w:kinsoku/>
        <w:wordWrap/>
        <w:overflowPunct/>
        <w:topLinePunct w:val="0"/>
        <w:autoSpaceDN/>
        <w:bidi w:val="0"/>
        <w:adjustRightInd/>
        <w:snapToGrid/>
        <w:spacing w:beforeLines="0" w:afterLines="0" w:line="590" w:lineRule="exact"/>
        <w:ind w:firstLine="720" w:firstLineChars="200"/>
        <w:jc w:val="both"/>
        <w:textAlignment w:val="auto"/>
        <w:rPr>
          <w:rFonts w:hint="default" w:ascii="Times New Roman" w:hAnsi="Times New Roman" w:eastAsia="华文仿宋" w:cs="Times New Roman"/>
          <w:color w:val="auto"/>
          <w:sz w:val="36"/>
          <w:szCs w:val="36"/>
          <w:highlight w:val="none"/>
          <w:lang w:val="en-US" w:eastAsia="zh-CN"/>
        </w:rPr>
      </w:pPr>
    </w:p>
    <w:p w14:paraId="1D87FDB2">
      <w:pPr>
        <w:keepNext w:val="0"/>
        <w:keepLines w:val="0"/>
        <w:pageBreakBefore w:val="0"/>
        <w:widowControl w:val="0"/>
        <w:numPr>
          <w:ilvl w:val="0"/>
          <w:numId w:val="1"/>
        </w:numPr>
        <w:suppressLineNumbers w:val="0"/>
        <w:kinsoku/>
        <w:wordWrap/>
        <w:overflowPunct/>
        <w:topLinePunct w:val="0"/>
        <w:autoSpaceDE w:val="0"/>
        <w:autoSpaceDN/>
        <w:bidi w:val="0"/>
        <w:adjustRightInd/>
        <w:snapToGrid/>
        <w:spacing w:beforeLines="0" w:beforeAutospacing="0" w:afterLines="0" w:afterAutospacing="0" w:line="590" w:lineRule="exact"/>
        <w:ind w:left="0" w:leftChars="0" w:firstLine="0" w:firstLineChars="0"/>
        <w:jc w:val="center"/>
        <w:textAlignment w:val="auto"/>
        <w:outlineLvl w:val="1"/>
        <w:rPr>
          <w:rFonts w:hint="eastAsia" w:ascii="Times New Roman" w:hAnsi="Times New Roman" w:eastAsia="方正黑体_GBK" w:cs="Times New Roman"/>
          <w:b w:val="0"/>
          <w:bCs w:val="0"/>
          <w:color w:val="auto"/>
          <w:kern w:val="2"/>
          <w:sz w:val="32"/>
          <w:szCs w:val="36"/>
          <w:highlight w:val="none"/>
          <w:lang w:val="en-US" w:eastAsia="zh-CN" w:bidi="ar"/>
        </w:rPr>
      </w:pPr>
      <w:r>
        <w:rPr>
          <w:rFonts w:hint="eastAsia" w:ascii="Times New Roman" w:hAnsi="Times New Roman" w:eastAsia="方正黑体_GBK" w:cs="Times New Roman"/>
          <w:b w:val="0"/>
          <w:bCs w:val="0"/>
          <w:color w:val="auto"/>
          <w:kern w:val="2"/>
          <w:sz w:val="32"/>
          <w:szCs w:val="36"/>
          <w:highlight w:val="none"/>
          <w:lang w:val="en-US" w:eastAsia="zh-CN" w:bidi="ar"/>
        </w:rPr>
        <w:t>总则</w:t>
      </w:r>
    </w:p>
    <w:p w14:paraId="498B2DC3">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rPr>
      </w:pPr>
      <w:r>
        <w:rPr>
          <w:rFonts w:hint="eastAsia" w:ascii="Times New Roman" w:hAnsi="Times New Roman" w:eastAsia="方正楷体_GBK" w:cs="Times New Roman"/>
          <w:b w:val="0"/>
          <w:bCs w:val="0"/>
          <w:color w:val="auto"/>
          <w:sz w:val="32"/>
          <w:szCs w:val="36"/>
          <w:highlight w:val="none"/>
          <w:lang w:val="en-US" w:eastAsia="zh-CN"/>
        </w:rPr>
        <w:t>第一条</w:t>
      </w:r>
      <w:r>
        <w:rPr>
          <w:rFonts w:hint="eastAsia" w:ascii="Times New Roman" w:hAnsi="Times New Roman" w:eastAsia="方正仿宋_GBK" w:cs="Times New Roman"/>
          <w:b/>
          <w:bCs/>
          <w:color w:val="auto"/>
          <w:sz w:val="32"/>
          <w:szCs w:val="36"/>
          <w:highlight w:val="none"/>
          <w:lang w:val="en-US" w:eastAsia="zh-CN"/>
        </w:rPr>
        <w:t xml:space="preserve"> </w:t>
      </w:r>
      <w:r>
        <w:rPr>
          <w:rFonts w:hint="eastAsia" w:ascii="Times New Roman" w:hAnsi="Times New Roman" w:eastAsia="方正仿宋_GBK" w:cs="Times New Roman"/>
          <w:color w:val="auto"/>
          <w:kern w:val="2"/>
          <w:sz w:val="32"/>
          <w:szCs w:val="36"/>
          <w:highlight w:val="none"/>
          <w:lang w:val="en-US" w:eastAsia="zh-CN" w:bidi="ar"/>
        </w:rPr>
        <w:t>根</w:t>
      </w:r>
      <w:r>
        <w:rPr>
          <w:rFonts w:hint="eastAsia" w:ascii="Times New Roman" w:hAnsi="Times New Roman" w:eastAsia="方正仿宋_GBK" w:cs="Times New Roman"/>
          <w:color w:val="auto"/>
          <w:kern w:val="2"/>
          <w:sz w:val="32"/>
          <w:szCs w:val="36"/>
          <w:highlight w:val="none"/>
          <w:lang w:val="en-US" w:eastAsia="zh-CN"/>
        </w:rPr>
        <w:t>据《促进科技型企业高质量发展的若干措施》</w:t>
      </w:r>
      <w:r>
        <w:rPr>
          <w:rFonts w:hint="eastAsia" w:ascii="Times New Roman" w:hAnsi="Times New Roman" w:eastAsia="方正仿宋_GBK" w:cs="Times New Roman"/>
          <w:color w:val="auto"/>
          <w:sz w:val="32"/>
          <w:szCs w:val="36"/>
          <w:highlight w:val="none"/>
          <w:lang w:eastAsia="zh-CN"/>
        </w:rPr>
        <w:t>（皖政〔</w:t>
      </w:r>
      <w:r>
        <w:rPr>
          <w:rFonts w:hint="eastAsia" w:ascii="Times New Roman" w:hAnsi="Times New Roman" w:eastAsia="方正仿宋_GBK" w:cs="Times New Roman"/>
          <w:color w:val="auto"/>
          <w:sz w:val="32"/>
          <w:szCs w:val="36"/>
          <w:highlight w:val="none"/>
          <w:lang w:val="en-US" w:eastAsia="zh-CN"/>
        </w:rPr>
        <w:t>2025</w:t>
      </w:r>
      <w:r>
        <w:rPr>
          <w:rFonts w:hint="eastAsia" w:ascii="Times New Roman" w:hAnsi="Times New Roman" w:eastAsia="方正仿宋_GBK" w:cs="Times New Roman"/>
          <w:color w:val="auto"/>
          <w:sz w:val="32"/>
          <w:szCs w:val="36"/>
          <w:highlight w:val="none"/>
          <w:lang w:eastAsia="zh-CN"/>
        </w:rPr>
        <w:t>〕</w:t>
      </w:r>
      <w:r>
        <w:rPr>
          <w:rFonts w:hint="eastAsia" w:ascii="Times New Roman" w:hAnsi="Times New Roman" w:eastAsia="方正仿宋_GBK" w:cs="Times New Roman"/>
          <w:color w:val="auto"/>
          <w:sz w:val="32"/>
          <w:szCs w:val="36"/>
          <w:highlight w:val="none"/>
          <w:lang w:val="en-US" w:eastAsia="zh-CN"/>
        </w:rPr>
        <w:t>50号</w:t>
      </w:r>
      <w:r>
        <w:rPr>
          <w:rFonts w:hint="eastAsia" w:ascii="Times New Roman" w:hAnsi="Times New Roman" w:eastAsia="方正仿宋_GBK" w:cs="Times New Roman"/>
          <w:color w:val="auto"/>
          <w:sz w:val="32"/>
          <w:szCs w:val="36"/>
          <w:highlight w:val="none"/>
          <w:lang w:eastAsia="zh-CN"/>
        </w:rPr>
        <w:t>）</w:t>
      </w:r>
      <w:r>
        <w:rPr>
          <w:rFonts w:hint="eastAsia" w:ascii="Times New Roman" w:hAnsi="Times New Roman" w:eastAsia="方正仿宋_GBK" w:cs="Times New Roman"/>
          <w:color w:val="auto"/>
          <w:kern w:val="2"/>
          <w:sz w:val="32"/>
          <w:szCs w:val="36"/>
          <w:highlight w:val="none"/>
          <w:lang w:val="en-US" w:eastAsia="zh-CN"/>
        </w:rPr>
        <w:t>要求，为做好省科技服务业</w:t>
      </w:r>
      <w:r>
        <w:rPr>
          <w:rFonts w:hint="eastAsia" w:ascii="Times New Roman" w:hAnsi="Times New Roman" w:eastAsia="方正仿宋_GBK" w:cs="Times New Roman"/>
          <w:color w:val="auto"/>
          <w:spacing w:val="0"/>
          <w:sz w:val="32"/>
          <w:szCs w:val="36"/>
          <w:highlight w:val="none"/>
        </w:rPr>
        <w:t>创新发展</w:t>
      </w:r>
      <w:r>
        <w:rPr>
          <w:rFonts w:hint="eastAsia" w:ascii="Times New Roman" w:hAnsi="Times New Roman" w:eastAsia="方正仿宋_GBK" w:cs="Times New Roman"/>
          <w:color w:val="auto"/>
          <w:kern w:val="2"/>
          <w:sz w:val="32"/>
          <w:szCs w:val="36"/>
          <w:highlight w:val="none"/>
          <w:lang w:val="en-US" w:eastAsia="zh-CN"/>
        </w:rPr>
        <w:t>集聚区（以下简称“集聚区”）建设管理工作，</w:t>
      </w:r>
      <w:r>
        <w:rPr>
          <w:rFonts w:hint="eastAsia" w:ascii="Times New Roman" w:hAnsi="Times New Roman" w:eastAsia="方正仿宋_GBK" w:cs="Times New Roman"/>
          <w:color w:val="auto"/>
          <w:sz w:val="32"/>
          <w:szCs w:val="36"/>
          <w:highlight w:val="none"/>
        </w:rPr>
        <w:t>推动科技服务业</w:t>
      </w:r>
      <w:r>
        <w:rPr>
          <w:rFonts w:hint="eastAsia" w:ascii="Times New Roman" w:hAnsi="Times New Roman" w:eastAsia="方正仿宋_GBK" w:cs="Times New Roman"/>
          <w:color w:val="auto"/>
          <w:sz w:val="32"/>
          <w:szCs w:val="36"/>
          <w:highlight w:val="none"/>
          <w:lang w:val="en-US" w:eastAsia="zh-CN"/>
        </w:rPr>
        <w:t>规模增长、质效提升，加快科技服务业集聚发展，促进</w:t>
      </w:r>
      <w:r>
        <w:rPr>
          <w:rFonts w:hint="eastAsia" w:ascii="Times New Roman" w:hAnsi="Times New Roman" w:eastAsia="方正仿宋_GBK" w:cs="Times New Roman"/>
          <w:color w:val="auto"/>
          <w:kern w:val="2"/>
          <w:sz w:val="32"/>
          <w:szCs w:val="36"/>
          <w:highlight w:val="none"/>
          <w:lang w:val="en-US" w:eastAsia="zh-CN"/>
        </w:rPr>
        <w:t>科技创新与产业创新深度融合，制定本办法。</w:t>
      </w:r>
    </w:p>
    <w:p w14:paraId="1E23F5B5">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rPr>
      </w:pPr>
      <w:r>
        <w:rPr>
          <w:rFonts w:hint="eastAsia" w:ascii="Times New Roman" w:hAnsi="Times New Roman" w:eastAsia="方正楷体_GBK" w:cs="Times New Roman"/>
          <w:b w:val="0"/>
          <w:bCs w:val="0"/>
          <w:color w:val="auto"/>
          <w:sz w:val="32"/>
          <w:szCs w:val="36"/>
          <w:highlight w:val="none"/>
          <w:lang w:val="en-US" w:eastAsia="zh-CN"/>
        </w:rPr>
        <w:t>第二条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kern w:val="2"/>
          <w:sz w:val="32"/>
          <w:szCs w:val="36"/>
          <w:highlight w:val="none"/>
          <w:lang w:val="en-US" w:eastAsia="zh-CN"/>
        </w:rPr>
        <w:t>集聚区是整合研究开发、技术转移、企业孵化、技术推广、检验检测、信息技术、工程技术、科技金融、知识产权、科技咨询等要素资源的功能性区域，为区域创新主体提供全链条、专业化科技服务。</w:t>
      </w:r>
      <w:r>
        <w:rPr>
          <w:rFonts w:hint="eastAsia" w:ascii="Times New Roman" w:hAnsi="Times New Roman" w:eastAsia="方正仿宋_GBK" w:cs="Times New Roman"/>
          <w:b w:val="0"/>
          <w:bCs w:val="0"/>
          <w:color w:val="auto"/>
          <w:kern w:val="2"/>
          <w:sz w:val="32"/>
          <w:szCs w:val="36"/>
          <w:highlight w:val="none"/>
          <w:lang w:val="en-US" w:eastAsia="zh-CN" w:bidi="ar"/>
        </w:rPr>
        <w:t>其建设主体为县（市、区）或省级及以上开发区（包括高新技术开发区和经济技术开发区）。</w:t>
      </w:r>
    </w:p>
    <w:p w14:paraId="59116383">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beforeAutospacing="0" w:afterLines="0" w:line="590" w:lineRule="exact"/>
        <w:ind w:left="0" w:leftChars="0" w:firstLine="640" w:firstLineChars="200"/>
        <w:textAlignment w:val="auto"/>
        <w:rPr>
          <w:rFonts w:hint="eastAsia" w:ascii="Times New Roman" w:hAnsi="Times New Roman" w:eastAsia="方正仿宋_GBK" w:cs="Times New Roman"/>
          <w:color w:val="auto"/>
          <w:sz w:val="32"/>
          <w:szCs w:val="36"/>
          <w:highlight w:val="none"/>
          <w:lang w:val="en-US" w:eastAsia="zh-CN"/>
        </w:rPr>
      </w:pPr>
      <w:r>
        <w:rPr>
          <w:rFonts w:hint="eastAsia" w:ascii="Times New Roman" w:hAnsi="Times New Roman" w:eastAsia="方正楷体_GBK" w:cs="Times New Roman"/>
          <w:b w:val="0"/>
          <w:bCs w:val="0"/>
          <w:color w:val="auto"/>
          <w:sz w:val="32"/>
          <w:szCs w:val="36"/>
          <w:highlight w:val="none"/>
          <w:lang w:val="en-US" w:eastAsia="zh-CN"/>
        </w:rPr>
        <w:t>第三条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kern w:val="2"/>
          <w:sz w:val="32"/>
          <w:szCs w:val="36"/>
          <w:highlight w:val="none"/>
          <w:lang w:val="en-US" w:eastAsia="zh-CN" w:bidi="ar"/>
        </w:rPr>
        <w:t>集聚区应强化龙头企业、高成长企业、高校、科研院所、专业服务机构、新型研发机构等科技服务业主体培育，推动高端人才、多元化资本、高能级创新平台等要素资源高效配置。着力构建高能级创新引擎，支持原始研发，鼓励服务模式与管理机制创新。加快打通科技服务内部细分领域之间以及科技服务与先进制造等重点产业之间的融合链条，破除壁垒，促进跨界协作与服务渗透。完善集聚区基础设施和配套服务，打造主体共生、要素增值、创新涌现、融合深化</w:t>
      </w:r>
      <w:r>
        <w:rPr>
          <w:rFonts w:hint="eastAsia" w:ascii="Times New Roman" w:hAnsi="Times New Roman" w:eastAsia="方正仿宋_GBK" w:cs="Times New Roman"/>
          <w:color w:val="auto"/>
          <w:sz w:val="32"/>
          <w:szCs w:val="36"/>
          <w:highlight w:val="none"/>
          <w:lang w:bidi="ar"/>
        </w:rPr>
        <w:t>的</w:t>
      </w:r>
      <w:r>
        <w:rPr>
          <w:rFonts w:hint="eastAsia" w:ascii="Times New Roman" w:hAnsi="Times New Roman" w:eastAsia="方正仿宋_GBK" w:cs="Times New Roman"/>
          <w:color w:val="auto"/>
          <w:sz w:val="32"/>
          <w:szCs w:val="36"/>
          <w:highlight w:val="none"/>
          <w:lang w:val="en-US" w:eastAsia="zh-CN" w:bidi="ar"/>
        </w:rPr>
        <w:t>科技服务业发展优质生态。</w:t>
      </w:r>
      <w:r>
        <w:rPr>
          <w:rFonts w:hint="eastAsia" w:ascii="Times New Roman" w:hAnsi="Times New Roman" w:eastAsia="方正仿宋_GBK" w:cs="Times New Roman"/>
          <w:color w:val="auto"/>
          <w:kern w:val="2"/>
          <w:sz w:val="32"/>
          <w:szCs w:val="36"/>
          <w:highlight w:val="none"/>
          <w:lang w:val="en-US" w:eastAsia="zh-CN" w:bidi="ar"/>
        </w:rPr>
        <w:t>支持集聚区立足区域资源禀赋、产业发展基础，</w:t>
      </w:r>
      <w:r>
        <w:rPr>
          <w:rFonts w:hint="eastAsia" w:ascii="Times New Roman" w:hAnsi="Times New Roman" w:eastAsia="方正仿宋_GBK" w:cs="Times New Roman"/>
          <w:color w:val="auto"/>
          <w:sz w:val="32"/>
          <w:szCs w:val="36"/>
          <w:highlight w:val="none"/>
          <w:lang w:val="en-US" w:eastAsia="zh-CN" w:bidi="ar"/>
        </w:rPr>
        <w:t>推动集聚区特色化、差异化发展，</w:t>
      </w:r>
      <w:r>
        <w:rPr>
          <w:rFonts w:hint="eastAsia" w:ascii="Times New Roman" w:hAnsi="Times New Roman" w:eastAsia="方正仿宋_GBK" w:cs="Times New Roman"/>
          <w:color w:val="auto"/>
          <w:kern w:val="2"/>
          <w:sz w:val="32"/>
          <w:szCs w:val="36"/>
          <w:highlight w:val="none"/>
          <w:lang w:val="en-US" w:eastAsia="zh-CN" w:bidi="ar"/>
        </w:rPr>
        <w:t>打造科技服务业特色品牌。</w:t>
      </w:r>
    </w:p>
    <w:p w14:paraId="4979048B">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bidi="ar"/>
        </w:rPr>
      </w:pPr>
      <w:r>
        <w:rPr>
          <w:rFonts w:hint="eastAsia" w:ascii="Times New Roman" w:hAnsi="Times New Roman" w:eastAsia="方正楷体_GBK" w:cs="Times New Roman"/>
          <w:b w:val="0"/>
          <w:bCs w:val="0"/>
          <w:color w:val="auto"/>
          <w:sz w:val="32"/>
          <w:szCs w:val="36"/>
          <w:highlight w:val="none"/>
          <w:lang w:val="en-US" w:eastAsia="zh-CN"/>
        </w:rPr>
        <w:t>第四条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kern w:val="2"/>
          <w:sz w:val="32"/>
          <w:szCs w:val="36"/>
          <w:highlight w:val="none"/>
          <w:lang w:val="en-US" w:eastAsia="zh-CN" w:bidi="ar"/>
        </w:rPr>
        <w:t>省科技厅负责统筹管理全省集聚区，包括综合型和特色型。各市科技部门牵头负责本市集聚区的建设培育和管理工作。各级统计部门负责集聚区的统计业务指导。</w:t>
      </w:r>
    </w:p>
    <w:p w14:paraId="2E4ED6DD">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rightChars="0" w:firstLine="640" w:firstLineChars="200"/>
        <w:jc w:val="both"/>
        <w:textAlignment w:val="auto"/>
        <w:rPr>
          <w:rFonts w:hint="default" w:ascii="Times New Roman" w:hAnsi="Times New Roman" w:eastAsia="华文仿宋" w:cs="Times New Roman"/>
          <w:color w:val="auto"/>
          <w:sz w:val="32"/>
          <w:szCs w:val="36"/>
          <w:highlight w:val="none"/>
          <w:lang w:val="en-US" w:eastAsia="zh-CN"/>
        </w:rPr>
      </w:pPr>
    </w:p>
    <w:p w14:paraId="09E98293">
      <w:pPr>
        <w:keepNext w:val="0"/>
        <w:keepLines w:val="0"/>
        <w:pageBreakBefore w:val="0"/>
        <w:widowControl w:val="0"/>
        <w:numPr>
          <w:ilvl w:val="0"/>
          <w:numId w:val="1"/>
        </w:numPr>
        <w:suppressLineNumbers w:val="0"/>
        <w:kinsoku/>
        <w:wordWrap/>
        <w:overflowPunct/>
        <w:topLinePunct w:val="0"/>
        <w:autoSpaceDE w:val="0"/>
        <w:autoSpaceDN/>
        <w:bidi w:val="0"/>
        <w:adjustRightInd/>
        <w:snapToGrid/>
        <w:spacing w:beforeLines="0" w:beforeAutospacing="0" w:afterLines="0" w:afterAutospacing="0" w:line="590" w:lineRule="exact"/>
        <w:ind w:left="0" w:leftChars="0" w:firstLine="0" w:firstLineChars="0"/>
        <w:jc w:val="center"/>
        <w:textAlignment w:val="auto"/>
        <w:outlineLvl w:val="1"/>
        <w:rPr>
          <w:rFonts w:hint="eastAsia" w:ascii="Times New Roman" w:hAnsi="Times New Roman" w:eastAsia="方正黑体_GBK" w:cs="Times New Roman"/>
          <w:b w:val="0"/>
          <w:bCs w:val="0"/>
          <w:color w:val="auto"/>
          <w:kern w:val="2"/>
          <w:sz w:val="32"/>
          <w:szCs w:val="36"/>
          <w:highlight w:val="none"/>
          <w:lang w:val="en-US" w:eastAsia="zh-CN" w:bidi="ar"/>
        </w:rPr>
      </w:pPr>
      <w:r>
        <w:rPr>
          <w:rFonts w:hint="eastAsia" w:ascii="Times New Roman" w:hAnsi="Times New Roman" w:eastAsia="方正黑体_GBK" w:cs="Times New Roman"/>
          <w:b w:val="0"/>
          <w:bCs w:val="0"/>
          <w:color w:val="auto"/>
          <w:kern w:val="2"/>
          <w:sz w:val="32"/>
          <w:szCs w:val="36"/>
          <w:highlight w:val="none"/>
          <w:lang w:val="en-US" w:eastAsia="zh-CN" w:bidi="ar"/>
        </w:rPr>
        <w:t>建设条件</w:t>
      </w:r>
    </w:p>
    <w:p w14:paraId="47838DF6">
      <w:pPr>
        <w:keepNext w:val="0"/>
        <w:keepLines w:val="0"/>
        <w:pageBreakBefore w:val="0"/>
        <w:widowControl w:val="0"/>
        <w:suppressAutoHyphens/>
        <w:kinsoku/>
        <w:wordWrap/>
        <w:overflowPunct/>
        <w:topLinePunct w:val="0"/>
        <w:autoSpaceDE/>
        <w:autoSpaceDN/>
        <w:bidi w:val="0"/>
        <w:adjustRightInd/>
        <w:snapToGrid/>
        <w:spacing w:beforeLines="0" w:beforeAutospacing="0" w:afterLines="0" w:line="590" w:lineRule="exact"/>
        <w:ind w:left="0" w:leftChars="0" w:firstLine="640" w:firstLineChars="200"/>
        <w:textAlignment w:val="auto"/>
        <w:rPr>
          <w:rFonts w:hint="eastAsia" w:ascii="Times New Roman" w:hAnsi="Times New Roman" w:eastAsia="方正仿宋_GBK" w:cs="Times New Roman"/>
          <w:color w:val="auto"/>
          <w:sz w:val="32"/>
          <w:szCs w:val="36"/>
          <w:highlight w:val="none"/>
        </w:rPr>
      </w:pPr>
      <w:r>
        <w:rPr>
          <w:rFonts w:hint="eastAsia" w:ascii="Times New Roman" w:hAnsi="Times New Roman" w:eastAsia="方正楷体_GBK" w:cs="Times New Roman"/>
          <w:b w:val="0"/>
          <w:bCs w:val="0"/>
          <w:color w:val="auto"/>
          <w:sz w:val="32"/>
          <w:szCs w:val="36"/>
          <w:highlight w:val="none"/>
          <w:lang w:val="en-US" w:eastAsia="zh-CN"/>
        </w:rPr>
        <w:t>第五条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sz w:val="32"/>
          <w:szCs w:val="36"/>
          <w:highlight w:val="none"/>
        </w:rPr>
        <w:t>申报</w:t>
      </w:r>
      <w:r>
        <w:rPr>
          <w:rFonts w:hint="eastAsia" w:ascii="Times New Roman" w:hAnsi="Times New Roman" w:eastAsia="方正仿宋_GBK" w:cs="Times New Roman"/>
          <w:color w:val="auto"/>
          <w:sz w:val="32"/>
          <w:szCs w:val="36"/>
          <w:highlight w:val="none"/>
          <w:lang w:val="en-US" w:eastAsia="zh-CN"/>
        </w:rPr>
        <w:t>综合型集聚区</w:t>
      </w:r>
      <w:r>
        <w:rPr>
          <w:rFonts w:hint="eastAsia" w:ascii="Times New Roman" w:hAnsi="Times New Roman" w:eastAsia="方正仿宋_GBK" w:cs="Times New Roman"/>
          <w:color w:val="auto"/>
          <w:sz w:val="32"/>
          <w:szCs w:val="36"/>
          <w:highlight w:val="none"/>
        </w:rPr>
        <w:t>须符合以下条件：</w:t>
      </w:r>
    </w:p>
    <w:p w14:paraId="0D61FE6D">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bidi="ar"/>
        </w:rPr>
      </w:pPr>
      <w:r>
        <w:rPr>
          <w:rFonts w:hint="eastAsia" w:ascii="Times New Roman" w:hAnsi="Times New Roman" w:eastAsia="方正仿宋_GBK" w:cs="Times New Roman"/>
          <w:color w:val="auto"/>
          <w:kern w:val="2"/>
          <w:sz w:val="32"/>
          <w:szCs w:val="36"/>
          <w:highlight w:val="none"/>
          <w:lang w:val="en-US" w:eastAsia="zh-CN" w:bidi="ar"/>
        </w:rPr>
        <w:t>（一）有完善的发展规划，发展目标明确，功能定位合理，产业集中度高。</w:t>
      </w:r>
    </w:p>
    <w:p w14:paraId="510D3477">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bidi="ar"/>
        </w:rPr>
      </w:pPr>
      <w:r>
        <w:rPr>
          <w:rFonts w:hint="eastAsia" w:ascii="Times New Roman" w:hAnsi="Times New Roman" w:eastAsia="方正仿宋_GBK" w:cs="Times New Roman"/>
          <w:color w:val="auto"/>
          <w:kern w:val="2"/>
          <w:sz w:val="32"/>
          <w:szCs w:val="36"/>
          <w:highlight w:val="none"/>
          <w:lang w:val="en-US" w:eastAsia="zh-CN" w:bidi="ar"/>
        </w:rPr>
        <w:t>（二）管理单位和管理人员明确，能够有效负责开展集聚区建设、运营和管理。统计和管理工作制度健全，能够及时、完整、准确提供集聚区相关统计数据和发展管理报告。</w:t>
      </w:r>
    </w:p>
    <w:p w14:paraId="3399898A">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beforeAutospacing="0" w:afterLines="0" w:line="590" w:lineRule="exact"/>
        <w:ind w:left="0" w:leftChars="0" w:firstLine="640" w:firstLineChars="200"/>
        <w:jc w:val="both"/>
        <w:textAlignment w:val="auto"/>
        <w:rPr>
          <w:rFonts w:hint="eastAsia" w:ascii="Times New Roman" w:hAnsi="Times New Roman" w:eastAsia="方正仿宋_GBK" w:cs="Times New Roman"/>
          <w:b w:val="0"/>
          <w:bCs w:val="0"/>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（三）创新能力领先，至少拥有1个国家级或5个省（部）级及以上创新平台载体，在规上企业研发投入强度、产学研协同创新能力等方面具有明显优势。</w:t>
      </w:r>
    </w:p>
    <w:p w14:paraId="19BE981E">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beforeAutospacing="0" w:afterLines="0" w:line="590" w:lineRule="exact"/>
        <w:ind w:left="0" w:leftChars="0" w:firstLine="640" w:firstLineChars="200"/>
        <w:jc w:val="both"/>
        <w:textAlignment w:val="auto"/>
        <w:rPr>
          <w:rFonts w:hint="eastAsia" w:ascii="Times New Roman" w:hAnsi="Times New Roman" w:eastAsia="方正仿宋_GBK" w:cs="Times New Roman"/>
          <w:b w:val="0"/>
          <w:bCs w:val="0"/>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（四）规模效应显著，规上科技服务业企业数量达10家及以上，科技服务业企业营业收入总额达10亿元及以上。</w:t>
      </w:r>
    </w:p>
    <w:p w14:paraId="096A2EB3">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beforeAutospacing="0" w:afterLines="0" w:line="590" w:lineRule="exact"/>
        <w:ind w:left="0" w:leftChars="0" w:firstLine="640" w:firstLineChars="200"/>
        <w:jc w:val="both"/>
        <w:textAlignment w:val="auto"/>
        <w:rPr>
          <w:rFonts w:hint="eastAsia" w:ascii="Times New Roman" w:hAnsi="Times New Roman" w:eastAsia="方正仿宋_GBK" w:cs="Times New Roman"/>
          <w:b w:val="0"/>
          <w:bCs w:val="0"/>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五）优质企业集聚，科技服务业龙头企业、上市企业、独角兽（潜在）企业、专精特新“小巨人”企业、国家高新技术企业、科技型中小企业等优质企业数量较多，企业竞争力较强，拥有较高的品牌知名度和行业影响力。</w:t>
      </w:r>
    </w:p>
    <w:p w14:paraId="0E8958B8">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beforeAutospacing="0" w:afterLines="0" w:line="590" w:lineRule="exact"/>
        <w:ind w:left="0" w:leftChars="0" w:firstLine="640" w:firstLineChars="200"/>
        <w:jc w:val="both"/>
        <w:textAlignment w:val="auto"/>
        <w:rPr>
          <w:rFonts w:hint="eastAsia" w:ascii="Times New Roman" w:hAnsi="Times New Roman" w:eastAsia="方正仿宋_GBK" w:cs="Times New Roman"/>
          <w:b w:val="0"/>
          <w:bCs w:val="0"/>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（六）生态体系完善，人才引育机制较为健全，政府产业引导基金规模水平较高，基础设施完备，配套服务体系高效，行业协会、产业联盟等作用发挥明显，形成各类创新主体联动发展、协同创新发展格局。</w:t>
      </w:r>
    </w:p>
    <w:p w14:paraId="0FE8DE78">
      <w:pPr>
        <w:keepNext w:val="0"/>
        <w:keepLines w:val="0"/>
        <w:pageBreakBefore w:val="0"/>
        <w:widowControl w:val="0"/>
        <w:numPr>
          <w:ilvl w:val="0"/>
          <w:numId w:val="0"/>
        </w:numPr>
        <w:suppressAutoHyphens/>
        <w:kinsoku/>
        <w:wordWrap/>
        <w:overflowPunct/>
        <w:topLinePunct w:val="0"/>
        <w:autoSpaceDN/>
        <w:bidi w:val="0"/>
        <w:adjustRightInd/>
        <w:snapToGrid/>
        <w:spacing w:beforeLines="0" w:afterLines="0" w:line="590" w:lineRule="exact"/>
        <w:ind w:firstLine="640" w:firstLineChars="200"/>
        <w:jc w:val="both"/>
        <w:textAlignment w:val="auto"/>
        <w:rPr>
          <w:rFonts w:hint="eastAsia" w:ascii="Times New Roman" w:hAnsi="Times New Roman" w:eastAsia="方正仿宋_GBK" w:cs="Times New Roman"/>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（七）</w:t>
      </w:r>
      <w:r>
        <w:rPr>
          <w:rFonts w:hint="eastAsia" w:ascii="Times New Roman" w:hAnsi="Times New Roman" w:eastAsia="方正仿宋_GBK" w:cs="Times New Roman"/>
          <w:b w:val="0"/>
          <w:bCs w:val="0"/>
          <w:color w:val="auto"/>
          <w:sz w:val="32"/>
          <w:szCs w:val="36"/>
          <w:highlight w:val="none"/>
          <w:u w:val="none"/>
          <w:lang w:eastAsia="zh-CN" w:bidi="ar"/>
        </w:rPr>
        <w:t>皖北和大别山革命老区的</w:t>
      </w:r>
      <w:r>
        <w:rPr>
          <w:rFonts w:hint="eastAsia" w:ascii="Times New Roman" w:hAnsi="Times New Roman" w:eastAsia="方正仿宋_GBK" w:cs="Times New Roman"/>
          <w:color w:val="auto"/>
          <w:kern w:val="2"/>
          <w:sz w:val="32"/>
          <w:szCs w:val="36"/>
          <w:highlight w:val="none"/>
          <w:u w:val="none"/>
          <w:lang w:val="en-US" w:eastAsia="zh-CN" w:bidi="ar"/>
        </w:rPr>
        <w:t>县（市、区）和省级及以上开发区申报的量化条件可下浮20%。</w:t>
      </w:r>
    </w:p>
    <w:p w14:paraId="4E5BC315">
      <w:pPr>
        <w:keepNext w:val="0"/>
        <w:keepLines w:val="0"/>
        <w:pageBreakBefore w:val="0"/>
        <w:widowControl w:val="0"/>
        <w:suppressAutoHyphens/>
        <w:kinsoku/>
        <w:wordWrap/>
        <w:overflowPunct/>
        <w:topLinePunct w:val="0"/>
        <w:autoSpaceDE/>
        <w:autoSpaceDN/>
        <w:bidi w:val="0"/>
        <w:adjustRightInd/>
        <w:snapToGrid/>
        <w:spacing w:beforeLines="0" w:beforeAutospacing="0" w:afterLines="0" w:line="590" w:lineRule="exact"/>
        <w:ind w:left="0" w:leftChars="0" w:firstLine="640" w:firstLineChars="200"/>
        <w:textAlignment w:val="auto"/>
        <w:rPr>
          <w:rFonts w:hint="eastAsia" w:ascii="Times New Roman" w:hAnsi="Times New Roman" w:eastAsia="方正仿宋_GBK" w:cs="Times New Roman"/>
          <w:color w:val="auto"/>
          <w:sz w:val="32"/>
          <w:szCs w:val="36"/>
          <w:highlight w:val="none"/>
        </w:rPr>
      </w:pPr>
      <w:r>
        <w:rPr>
          <w:rFonts w:hint="eastAsia" w:ascii="Times New Roman" w:hAnsi="Times New Roman" w:eastAsia="方正楷体_GBK" w:cs="Times New Roman"/>
          <w:b w:val="0"/>
          <w:bCs w:val="0"/>
          <w:color w:val="auto"/>
          <w:sz w:val="32"/>
          <w:szCs w:val="36"/>
          <w:highlight w:val="none"/>
          <w:lang w:val="en-US" w:eastAsia="zh-CN"/>
        </w:rPr>
        <w:t>第六条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sz w:val="32"/>
          <w:szCs w:val="36"/>
          <w:highlight w:val="none"/>
        </w:rPr>
        <w:t>申报</w:t>
      </w:r>
      <w:r>
        <w:rPr>
          <w:rFonts w:hint="eastAsia" w:ascii="Times New Roman" w:hAnsi="Times New Roman" w:eastAsia="方正仿宋_GBK" w:cs="Times New Roman"/>
          <w:color w:val="auto"/>
          <w:sz w:val="32"/>
          <w:szCs w:val="36"/>
          <w:highlight w:val="none"/>
          <w:lang w:val="en-US" w:eastAsia="zh-CN"/>
        </w:rPr>
        <w:t>特色型集聚区</w:t>
      </w:r>
      <w:r>
        <w:rPr>
          <w:rFonts w:hint="eastAsia" w:ascii="Times New Roman" w:hAnsi="Times New Roman" w:eastAsia="方正仿宋_GBK" w:cs="Times New Roman"/>
          <w:color w:val="auto"/>
          <w:sz w:val="32"/>
          <w:szCs w:val="36"/>
          <w:highlight w:val="none"/>
        </w:rPr>
        <w:t>须符合以下条件：</w:t>
      </w:r>
    </w:p>
    <w:p w14:paraId="18548DE4">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bidi="ar"/>
        </w:rPr>
      </w:pPr>
      <w:r>
        <w:rPr>
          <w:rFonts w:hint="eastAsia" w:ascii="Times New Roman" w:hAnsi="Times New Roman" w:eastAsia="方正仿宋_GBK" w:cs="Times New Roman"/>
          <w:color w:val="auto"/>
          <w:kern w:val="2"/>
          <w:sz w:val="32"/>
          <w:szCs w:val="36"/>
          <w:highlight w:val="none"/>
          <w:lang w:val="en-US" w:eastAsia="zh-CN" w:bidi="ar"/>
        </w:rPr>
        <w:t>（一）有完善的发展规划，发展目标明确，功能定位合理，产业集中度高。</w:t>
      </w:r>
    </w:p>
    <w:p w14:paraId="42DD60DF">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bidi="ar"/>
        </w:rPr>
      </w:pPr>
      <w:r>
        <w:rPr>
          <w:rFonts w:hint="eastAsia" w:ascii="Times New Roman" w:hAnsi="Times New Roman" w:eastAsia="方正仿宋_GBK" w:cs="Times New Roman"/>
          <w:color w:val="auto"/>
          <w:kern w:val="2"/>
          <w:sz w:val="32"/>
          <w:szCs w:val="36"/>
          <w:highlight w:val="none"/>
          <w:lang w:val="en-US" w:eastAsia="zh-CN" w:bidi="ar"/>
        </w:rPr>
        <w:t>（二）管理单位和管理人员明确，能够有效负责开展集聚区建设、运营和管理。统计和管理工作制度健全，能够及时、完整、准确提供集聚区相关统计数据和发展管理报告。</w:t>
      </w:r>
    </w:p>
    <w:p w14:paraId="17E8B137">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beforeAutospacing="0" w:afterLines="0" w:line="590" w:lineRule="exact"/>
        <w:ind w:left="0" w:leftChars="0" w:firstLine="640" w:firstLineChars="200"/>
        <w:jc w:val="both"/>
        <w:textAlignment w:val="auto"/>
        <w:rPr>
          <w:rFonts w:hint="eastAsia" w:ascii="Times New Roman" w:hAnsi="Times New Roman" w:eastAsia="方正仿宋_GBK" w:cs="Times New Roman"/>
          <w:b w:val="0"/>
          <w:bCs w:val="0"/>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（三）产</w:t>
      </w:r>
      <w:r>
        <w:rPr>
          <w:rFonts w:hint="eastAsia" w:ascii="Times New Roman" w:hAnsi="Times New Roman" w:eastAsia="方正仿宋_GBK" w:cs="Times New Roman"/>
          <w:color w:val="auto"/>
          <w:kern w:val="2"/>
          <w:sz w:val="32"/>
          <w:szCs w:val="36"/>
          <w:highlight w:val="none"/>
        </w:rPr>
        <w:t>业特色鲜明，</w:t>
      </w:r>
      <w:r>
        <w:rPr>
          <w:rFonts w:hint="eastAsia" w:ascii="Times New Roman" w:hAnsi="Times New Roman" w:eastAsia="方正仿宋_GBK" w:cs="Times New Roman"/>
          <w:color w:val="auto"/>
          <w:kern w:val="2"/>
          <w:sz w:val="32"/>
          <w:szCs w:val="36"/>
          <w:highlight w:val="none"/>
          <w:lang w:val="en-US" w:eastAsia="zh-CN"/>
        </w:rPr>
        <w:t>在科技服务业</w:t>
      </w:r>
      <w:r>
        <w:rPr>
          <w:rFonts w:hint="eastAsia" w:ascii="Times New Roman" w:hAnsi="Times New Roman" w:eastAsia="方正仿宋_GBK" w:cs="Times New Roman"/>
          <w:color w:val="auto"/>
          <w:kern w:val="2"/>
          <w:sz w:val="32"/>
          <w:szCs w:val="36"/>
          <w:highlight w:val="none"/>
        </w:rPr>
        <w:t>细分产业领域</w:t>
      </w:r>
      <w:r>
        <w:rPr>
          <w:rFonts w:hint="eastAsia" w:ascii="Times New Roman" w:hAnsi="Times New Roman" w:eastAsia="方正仿宋_GBK" w:cs="Times New Roman"/>
          <w:color w:val="auto"/>
          <w:kern w:val="2"/>
          <w:sz w:val="32"/>
          <w:szCs w:val="36"/>
          <w:highlight w:val="none"/>
          <w:lang w:val="en-US" w:eastAsia="zh-CN"/>
        </w:rPr>
        <w:t>中，单一领域原则上</w:t>
      </w:r>
      <w:r>
        <w:rPr>
          <w:rFonts w:hint="eastAsia" w:ascii="Times New Roman" w:hAnsi="Times New Roman" w:eastAsia="方正仿宋_GBK" w:cs="Times New Roman"/>
          <w:b w:val="0"/>
          <w:bCs w:val="0"/>
          <w:color w:val="auto"/>
          <w:sz w:val="32"/>
          <w:szCs w:val="36"/>
          <w:highlight w:val="none"/>
          <w:u w:val="none"/>
          <w:lang w:val="en-US" w:eastAsia="zh-CN" w:bidi="ar"/>
        </w:rPr>
        <w:t>规上科技服务业企业数量达5家及以上，企业营业收入总额达2亿元及以上；</w:t>
      </w:r>
      <w:r>
        <w:rPr>
          <w:rFonts w:hint="eastAsia" w:ascii="Times New Roman" w:hAnsi="Times New Roman" w:eastAsia="方正仿宋_GBK" w:cs="Times New Roman"/>
          <w:color w:val="auto"/>
          <w:kern w:val="2"/>
          <w:sz w:val="32"/>
          <w:szCs w:val="36"/>
          <w:highlight w:val="none"/>
          <w:lang w:val="en-US" w:eastAsia="zh-CN"/>
        </w:rPr>
        <w:t>至少拥有</w:t>
      </w:r>
      <w:r>
        <w:rPr>
          <w:rFonts w:hint="eastAsia" w:ascii="Times New Roman" w:hAnsi="Times New Roman" w:eastAsia="方正仿宋_GBK" w:cs="Times New Roman"/>
          <w:b w:val="0"/>
          <w:bCs w:val="0"/>
          <w:color w:val="auto"/>
          <w:sz w:val="32"/>
          <w:szCs w:val="36"/>
          <w:highlight w:val="none"/>
          <w:u w:val="none"/>
          <w:lang w:val="en-US" w:eastAsia="zh-CN" w:bidi="ar"/>
        </w:rPr>
        <w:t>3个省（部）级及以上创新平台载体；牵头或参与制定3项及以上科技服务业相关国际/国内/行业标准。</w:t>
      </w:r>
    </w:p>
    <w:p w14:paraId="54C1E498">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beforeAutospacing="0" w:afterLines="0" w:line="590" w:lineRule="exact"/>
        <w:ind w:left="0" w:leftChars="0" w:firstLine="640" w:firstLineChars="200"/>
        <w:jc w:val="both"/>
        <w:textAlignment w:val="auto"/>
        <w:rPr>
          <w:rFonts w:hint="eastAsia" w:ascii="Times New Roman" w:hAnsi="Times New Roman" w:eastAsia="方正仿宋_GBK" w:cs="Times New Roman"/>
          <w:b w:val="0"/>
          <w:bCs w:val="0"/>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四）优质企业集聚，科技服务业龙头企业、上市企业、独角兽（潜在）企业、专精特新“小巨人”企业、国家高新技术企业、科技型中小企业等优质企业数量较多，企业竞争力较强，拥有较高的品牌知名度和行业影响力。</w:t>
      </w:r>
    </w:p>
    <w:p w14:paraId="12A2DEFA">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beforeAutospacing="0" w:afterLines="0" w:line="590" w:lineRule="exact"/>
        <w:ind w:left="0" w:leftChars="0" w:firstLine="640" w:firstLineChars="200"/>
        <w:jc w:val="both"/>
        <w:textAlignment w:val="auto"/>
        <w:rPr>
          <w:rFonts w:hint="eastAsia" w:ascii="Times New Roman" w:hAnsi="Times New Roman" w:eastAsia="方正仿宋_GBK" w:cs="Times New Roman"/>
          <w:b w:val="0"/>
          <w:bCs w:val="0"/>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（五）生态体系完善，人才引育机制较为健全，政府产业引导基金规模水平较高，基础设施完备，配套服务体系高效，行业协会、产业联盟等作用发挥明显，形成各类创新主体联动发展、协同创新发展格局。</w:t>
      </w:r>
    </w:p>
    <w:p w14:paraId="7D7CCD51">
      <w:pPr>
        <w:keepNext w:val="0"/>
        <w:keepLines w:val="0"/>
        <w:pageBreakBefore w:val="0"/>
        <w:widowControl w:val="0"/>
        <w:numPr>
          <w:ilvl w:val="0"/>
          <w:numId w:val="0"/>
        </w:numPr>
        <w:suppressAutoHyphens/>
        <w:kinsoku/>
        <w:wordWrap/>
        <w:overflowPunct/>
        <w:topLinePunct w:val="0"/>
        <w:autoSpaceDE w:val="0"/>
        <w:autoSpaceDN/>
        <w:bidi w:val="0"/>
        <w:adjustRightInd/>
        <w:snapToGrid/>
        <w:spacing w:beforeLines="0" w:afterLines="0" w:line="590" w:lineRule="exact"/>
        <w:ind w:firstLine="640" w:firstLineChars="200"/>
        <w:jc w:val="both"/>
        <w:textAlignment w:val="auto"/>
        <w:rPr>
          <w:rFonts w:hint="eastAsia" w:ascii="Times New Roman" w:hAnsi="Times New Roman" w:eastAsia="方正仿宋_GBK" w:cs="Times New Roman"/>
          <w:color w:val="auto"/>
          <w:sz w:val="32"/>
          <w:szCs w:val="36"/>
          <w:highlight w:val="none"/>
          <w:u w:val="none"/>
          <w:lang w:val="en-US" w:eastAsia="zh-CN" w:bidi="ar"/>
        </w:rPr>
      </w:pPr>
      <w:r>
        <w:rPr>
          <w:rFonts w:hint="eastAsia" w:ascii="Times New Roman" w:hAnsi="Times New Roman" w:eastAsia="方正仿宋_GBK" w:cs="Times New Roman"/>
          <w:b w:val="0"/>
          <w:bCs w:val="0"/>
          <w:color w:val="auto"/>
          <w:sz w:val="32"/>
          <w:szCs w:val="36"/>
          <w:highlight w:val="none"/>
          <w:u w:val="none"/>
          <w:lang w:val="en-US" w:eastAsia="zh-CN" w:bidi="ar"/>
        </w:rPr>
        <w:t>（六）</w:t>
      </w:r>
      <w:r>
        <w:rPr>
          <w:rFonts w:hint="eastAsia" w:ascii="Times New Roman" w:hAnsi="Times New Roman" w:eastAsia="方正仿宋_GBK" w:cs="Times New Roman"/>
          <w:b w:val="0"/>
          <w:bCs w:val="0"/>
          <w:color w:val="auto"/>
          <w:sz w:val="32"/>
          <w:szCs w:val="36"/>
          <w:highlight w:val="none"/>
          <w:u w:val="none"/>
          <w:lang w:eastAsia="zh-CN" w:bidi="ar"/>
        </w:rPr>
        <w:t>皖北和大别山革命老区的</w:t>
      </w:r>
      <w:r>
        <w:rPr>
          <w:rFonts w:hint="eastAsia" w:ascii="Times New Roman" w:hAnsi="Times New Roman" w:eastAsia="方正仿宋_GBK" w:cs="Times New Roman"/>
          <w:color w:val="auto"/>
          <w:kern w:val="2"/>
          <w:sz w:val="32"/>
          <w:szCs w:val="36"/>
          <w:highlight w:val="none"/>
          <w:u w:val="none"/>
          <w:lang w:val="en-US" w:eastAsia="zh-CN" w:bidi="ar"/>
        </w:rPr>
        <w:t>县（市、区）和省级及以上开发区申报的量化条件可下浮20%。</w:t>
      </w:r>
    </w:p>
    <w:p w14:paraId="5D772E79">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beforeAutospacing="0" w:afterLines="0" w:line="590" w:lineRule="exact"/>
        <w:ind w:left="0" w:leftChars="0" w:firstLine="640" w:firstLineChars="200"/>
        <w:jc w:val="both"/>
        <w:textAlignment w:val="auto"/>
        <w:rPr>
          <w:rFonts w:hint="eastAsia" w:ascii="Times New Roman" w:hAnsi="Times New Roman" w:eastAsia="方正仿宋_GBK" w:cs="Times New Roman"/>
          <w:color w:val="auto"/>
          <w:sz w:val="32"/>
          <w:szCs w:val="36"/>
          <w:highlight w:val="none"/>
        </w:rPr>
      </w:pPr>
      <w:r>
        <w:rPr>
          <w:rFonts w:hint="eastAsia" w:ascii="Times New Roman" w:hAnsi="Times New Roman" w:eastAsia="方正楷体_GBK" w:cs="Times New Roman"/>
          <w:b w:val="0"/>
          <w:bCs w:val="0"/>
          <w:color w:val="auto"/>
          <w:sz w:val="32"/>
          <w:szCs w:val="36"/>
          <w:highlight w:val="none"/>
          <w:lang w:val="en-US" w:eastAsia="zh-CN"/>
        </w:rPr>
        <w:t>第七条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sz w:val="32"/>
          <w:szCs w:val="36"/>
          <w:highlight w:val="none"/>
          <w:lang w:val="en-US" w:eastAsia="zh-CN"/>
        </w:rPr>
        <w:t>集聚区</w:t>
      </w:r>
      <w:r>
        <w:rPr>
          <w:rFonts w:hint="eastAsia" w:ascii="Times New Roman" w:hAnsi="Times New Roman" w:eastAsia="方正仿宋_GBK" w:cs="Times New Roman"/>
          <w:color w:val="auto"/>
          <w:sz w:val="32"/>
          <w:szCs w:val="36"/>
          <w:highlight w:val="none"/>
        </w:rPr>
        <w:t>申报</w:t>
      </w:r>
      <w:r>
        <w:rPr>
          <w:rFonts w:hint="eastAsia" w:ascii="Times New Roman" w:hAnsi="Times New Roman" w:eastAsia="方正仿宋_GBK" w:cs="Times New Roman"/>
          <w:color w:val="auto"/>
          <w:sz w:val="32"/>
          <w:szCs w:val="36"/>
          <w:highlight w:val="none"/>
          <w:lang w:eastAsia="zh-CN"/>
        </w:rPr>
        <w:t>建设</w:t>
      </w:r>
      <w:r>
        <w:rPr>
          <w:rFonts w:hint="eastAsia" w:ascii="Times New Roman" w:hAnsi="Times New Roman" w:eastAsia="方正仿宋_GBK" w:cs="Times New Roman"/>
          <w:color w:val="auto"/>
          <w:sz w:val="32"/>
          <w:szCs w:val="36"/>
          <w:highlight w:val="none"/>
        </w:rPr>
        <w:t>程序如下：</w:t>
      </w:r>
    </w:p>
    <w:p w14:paraId="74B1E799">
      <w:pPr>
        <w:keepNext w:val="0"/>
        <w:keepLines w:val="0"/>
        <w:pageBreakBefore w:val="0"/>
        <w:widowControl w:val="0"/>
        <w:numPr>
          <w:ilvl w:val="0"/>
          <w:numId w:val="0"/>
        </w:numPr>
        <w:suppressLineNumbers w:val="0"/>
        <w:suppressAutoHyphens/>
        <w:kinsoku/>
        <w:wordWrap/>
        <w:overflowPunct/>
        <w:topLinePunct w:val="0"/>
        <w:autoSpaceDE/>
        <w:autoSpaceDN/>
        <w:bidi w:val="0"/>
        <w:adjustRightInd/>
        <w:snapToGrid/>
        <w:spacing w:beforeLines="0" w:beforeAutospacing="0" w:afterLines="0" w:afterAutospacing="0" w:line="590" w:lineRule="exact"/>
        <w:ind w:left="0" w:leftChars="0" w:right="0" w:firstLine="640" w:firstLineChars="200"/>
        <w:jc w:val="left"/>
        <w:textAlignment w:val="auto"/>
        <w:rPr>
          <w:rFonts w:hint="eastAsia" w:ascii="Times New Roman" w:hAnsi="Times New Roman" w:eastAsia="方正仿宋_GBK" w:cs="Times New Roman"/>
          <w:color w:val="auto"/>
          <w:kern w:val="2"/>
          <w:sz w:val="32"/>
          <w:szCs w:val="36"/>
          <w:highlight w:val="none"/>
        </w:rPr>
      </w:pPr>
      <w:r>
        <w:rPr>
          <w:rFonts w:hint="eastAsia" w:ascii="Times New Roman" w:hAnsi="Times New Roman" w:eastAsia="方正仿宋_GBK" w:cs="Times New Roman"/>
          <w:b w:val="0"/>
          <w:bCs w:val="0"/>
          <w:color w:val="auto"/>
          <w:sz w:val="32"/>
          <w:szCs w:val="36"/>
          <w:highlight w:val="none"/>
          <w:u w:val="none"/>
          <w:lang w:val="en-US" w:eastAsia="zh-CN" w:bidi="ar"/>
        </w:rPr>
        <w:t>（一）</w:t>
      </w:r>
      <w:r>
        <w:rPr>
          <w:rFonts w:hint="eastAsia" w:ascii="Times New Roman" w:hAnsi="Times New Roman" w:eastAsia="方正仿宋_GBK" w:cs="Times New Roman"/>
          <w:color w:val="auto"/>
          <w:spacing w:val="7"/>
          <w:kern w:val="2"/>
          <w:sz w:val="32"/>
          <w:szCs w:val="36"/>
          <w:highlight w:val="none"/>
          <w:lang w:val="en-US" w:eastAsia="zh-CN" w:bidi="ar"/>
        </w:rPr>
        <w:t>集</w:t>
      </w:r>
      <w:r>
        <w:rPr>
          <w:rFonts w:hint="eastAsia" w:ascii="Times New Roman" w:hAnsi="Times New Roman" w:eastAsia="方正仿宋_GBK" w:cs="Times New Roman"/>
          <w:color w:val="auto"/>
          <w:kern w:val="2"/>
          <w:sz w:val="32"/>
          <w:szCs w:val="36"/>
          <w:highlight w:val="none"/>
          <w:lang w:val="en-US" w:eastAsia="zh-CN" w:bidi="ar"/>
        </w:rPr>
        <w:t>聚区申报原则上每年一次，省科技厅印发申报通知，各市科技部门根据通知要求，组织辖区内集聚区的申报工作。</w:t>
      </w:r>
    </w:p>
    <w:p w14:paraId="543A0E39">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68" w:firstLineChars="200"/>
        <w:jc w:val="both"/>
        <w:textAlignment w:val="auto"/>
        <w:rPr>
          <w:rFonts w:hint="eastAsia" w:ascii="Times New Roman" w:hAnsi="Times New Roman" w:eastAsia="方正仿宋_GBK" w:cs="Times New Roman"/>
          <w:color w:val="auto"/>
          <w:kern w:val="2"/>
          <w:sz w:val="32"/>
          <w:szCs w:val="36"/>
          <w:highlight w:val="none"/>
        </w:rPr>
      </w:pPr>
      <w:r>
        <w:rPr>
          <w:rFonts w:hint="eastAsia" w:ascii="Times New Roman" w:hAnsi="Times New Roman" w:eastAsia="方正仿宋_GBK" w:cs="Times New Roman"/>
          <w:color w:val="auto"/>
          <w:spacing w:val="7"/>
          <w:kern w:val="2"/>
          <w:sz w:val="32"/>
          <w:szCs w:val="36"/>
          <w:highlight w:val="none"/>
          <w:lang w:val="en-US" w:eastAsia="zh-CN" w:bidi="ar"/>
        </w:rPr>
        <w:t>（二）符合</w:t>
      </w:r>
      <w:r>
        <w:rPr>
          <w:rFonts w:hint="eastAsia" w:ascii="Times New Roman" w:hAnsi="Times New Roman" w:eastAsia="方正仿宋_GBK" w:cs="Times New Roman"/>
          <w:color w:val="auto"/>
          <w:kern w:val="2"/>
          <w:sz w:val="32"/>
          <w:szCs w:val="36"/>
          <w:highlight w:val="none"/>
          <w:lang w:val="en-US" w:eastAsia="zh-CN" w:bidi="ar"/>
        </w:rPr>
        <w:t>条件的县（市、区）和省级及以上开发区科技部门，经县（市、区）人民政府或开发区管委会同意，向所在市科技部门提出申请。</w:t>
      </w:r>
      <w:r>
        <w:rPr>
          <w:rFonts w:hint="eastAsia" w:ascii="Times New Roman" w:hAnsi="Times New Roman" w:eastAsia="方正仿宋_GBK" w:cs="Times New Roman"/>
          <w:color w:val="auto"/>
          <w:kern w:val="0"/>
          <w:sz w:val="32"/>
          <w:szCs w:val="36"/>
          <w:highlight w:val="none"/>
          <w:lang w:val="en-US" w:eastAsia="zh-CN" w:bidi="ar"/>
        </w:rPr>
        <w:t>各</w:t>
      </w:r>
      <w:r>
        <w:rPr>
          <w:rFonts w:hint="eastAsia" w:ascii="Times New Roman" w:hAnsi="Times New Roman" w:eastAsia="方正仿宋_GBK" w:cs="Times New Roman"/>
          <w:color w:val="auto"/>
          <w:kern w:val="2"/>
          <w:sz w:val="32"/>
          <w:szCs w:val="36"/>
          <w:highlight w:val="none"/>
          <w:lang w:val="en-US" w:eastAsia="zh-CN" w:bidi="ar"/>
        </w:rPr>
        <w:t>市科技部门对申报材料的完整性、真实性和有效性进行初审后确定推荐名单，并将申报材料及审核意见报送省科技厅。</w:t>
      </w:r>
    </w:p>
    <w:p w14:paraId="6C4D9B2B">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68" w:firstLineChars="200"/>
        <w:jc w:val="both"/>
        <w:textAlignment w:val="auto"/>
        <w:rPr>
          <w:rFonts w:hint="eastAsia" w:ascii="Times New Roman" w:hAnsi="Times New Roman" w:eastAsia="方正仿宋_GBK" w:cs="Times New Roman"/>
          <w:color w:val="auto"/>
          <w:spacing w:val="7"/>
          <w:kern w:val="2"/>
          <w:sz w:val="32"/>
          <w:szCs w:val="36"/>
          <w:highlight w:val="none"/>
          <w:lang w:bidi="ar"/>
        </w:rPr>
      </w:pPr>
      <w:r>
        <w:rPr>
          <w:rFonts w:hint="eastAsia" w:ascii="Times New Roman" w:hAnsi="Times New Roman" w:eastAsia="方正仿宋_GBK" w:cs="Times New Roman"/>
          <w:color w:val="auto"/>
          <w:spacing w:val="7"/>
          <w:kern w:val="2"/>
          <w:sz w:val="32"/>
          <w:szCs w:val="36"/>
          <w:highlight w:val="none"/>
          <w:lang w:val="en-US" w:eastAsia="zh-CN" w:bidi="ar"/>
        </w:rPr>
        <w:t>（三）建设主体应根据申</w:t>
      </w:r>
      <w:r>
        <w:rPr>
          <w:rFonts w:hint="eastAsia" w:ascii="Times New Roman" w:hAnsi="Times New Roman" w:eastAsia="方正仿宋_GBK" w:cs="Times New Roman"/>
          <w:b w:val="0"/>
          <w:bCs w:val="0"/>
          <w:color w:val="auto"/>
          <w:spacing w:val="7"/>
          <w:kern w:val="2"/>
          <w:sz w:val="32"/>
          <w:szCs w:val="36"/>
          <w:highlight w:val="none"/>
          <w:lang w:val="en-US" w:eastAsia="zh-CN" w:bidi="ar"/>
        </w:rPr>
        <w:t>报通知提交申请材料，申报材料应包括集聚区建设方案和其他佐证材料。其中集聚区建设方案应包括</w:t>
      </w:r>
      <w:r>
        <w:rPr>
          <w:rFonts w:hint="eastAsia" w:ascii="Times New Roman" w:hAnsi="Times New Roman" w:eastAsia="方正仿宋_GBK" w:cs="Times New Roman"/>
          <w:b w:val="0"/>
          <w:bCs w:val="0"/>
          <w:color w:val="auto"/>
          <w:spacing w:val="7"/>
          <w:sz w:val="32"/>
          <w:szCs w:val="36"/>
          <w:highlight w:val="none"/>
          <w:lang w:val="en-US" w:eastAsia="zh-CN" w:bidi="ar"/>
        </w:rPr>
        <w:t>基础条件、建设思路与目标、重点任务、保障措施</w:t>
      </w:r>
      <w:r>
        <w:rPr>
          <w:rFonts w:hint="eastAsia" w:ascii="Times New Roman" w:hAnsi="Times New Roman" w:eastAsia="方正仿宋_GBK" w:cs="Times New Roman"/>
          <w:b w:val="0"/>
          <w:bCs w:val="0"/>
          <w:color w:val="auto"/>
          <w:spacing w:val="7"/>
          <w:kern w:val="2"/>
          <w:sz w:val="32"/>
          <w:szCs w:val="36"/>
          <w:highlight w:val="none"/>
          <w:lang w:val="en-US" w:eastAsia="zh-CN" w:bidi="ar"/>
        </w:rPr>
        <w:t>等。</w:t>
      </w:r>
    </w:p>
    <w:p w14:paraId="48D3EEA7">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68" w:firstLineChars="200"/>
        <w:jc w:val="both"/>
        <w:textAlignment w:val="auto"/>
        <w:rPr>
          <w:rFonts w:hint="eastAsia" w:ascii="Times New Roman" w:hAnsi="Times New Roman" w:eastAsia="方正仿宋_GBK" w:cs="Times New Roman"/>
          <w:color w:val="auto"/>
          <w:kern w:val="2"/>
          <w:sz w:val="32"/>
          <w:szCs w:val="36"/>
          <w:highlight w:val="none"/>
          <w:lang w:val="en-US" w:eastAsia="zh-CN" w:bidi="ar"/>
        </w:rPr>
      </w:pPr>
      <w:r>
        <w:rPr>
          <w:rFonts w:hint="eastAsia" w:ascii="Times New Roman" w:hAnsi="Times New Roman" w:eastAsia="方正仿宋_GBK" w:cs="Times New Roman"/>
          <w:color w:val="auto"/>
          <w:spacing w:val="7"/>
          <w:kern w:val="2"/>
          <w:sz w:val="32"/>
          <w:szCs w:val="36"/>
          <w:highlight w:val="none"/>
          <w:lang w:val="en-US" w:eastAsia="zh-CN" w:bidi="ar"/>
        </w:rPr>
        <w:t>（四）省科技厅</w:t>
      </w:r>
      <w:r>
        <w:rPr>
          <w:rFonts w:hint="eastAsia" w:ascii="Times New Roman" w:hAnsi="Times New Roman" w:eastAsia="方正仿宋_GBK" w:cs="Times New Roman"/>
          <w:color w:val="auto"/>
          <w:kern w:val="0"/>
          <w:sz w:val="32"/>
          <w:szCs w:val="36"/>
          <w:highlight w:val="none"/>
          <w:lang w:val="en-US" w:eastAsia="zh-CN" w:bidi="ar"/>
        </w:rPr>
        <w:t>根据申报材料组织专家评审</w:t>
      </w:r>
      <w:r>
        <w:rPr>
          <w:rFonts w:hint="eastAsia" w:ascii="Times New Roman" w:hAnsi="Times New Roman" w:eastAsia="方正仿宋_GBK" w:cs="Times New Roman"/>
          <w:color w:val="auto"/>
          <w:spacing w:val="7"/>
          <w:kern w:val="2"/>
          <w:sz w:val="32"/>
          <w:szCs w:val="36"/>
          <w:highlight w:val="none"/>
          <w:lang w:val="en-US" w:eastAsia="zh-CN" w:bidi="ar"/>
        </w:rPr>
        <w:t>，对评审通过的申报单位在省科技厅门户网站予以公示。</w:t>
      </w:r>
      <w:r>
        <w:rPr>
          <w:rFonts w:hint="eastAsia" w:ascii="Times New Roman" w:hAnsi="Times New Roman" w:eastAsia="方正仿宋_GBK" w:cs="Times New Roman"/>
          <w:color w:val="auto"/>
          <w:kern w:val="2"/>
          <w:sz w:val="32"/>
          <w:szCs w:val="36"/>
          <w:highlight w:val="none"/>
          <w:lang w:val="en-US" w:eastAsia="zh-CN" w:bidi="ar"/>
        </w:rPr>
        <w:t>对公示无异议的，确定为安徽省科技服务业</w:t>
      </w:r>
      <w:r>
        <w:rPr>
          <w:rFonts w:hint="eastAsia" w:ascii="Times New Roman" w:hAnsi="Times New Roman" w:eastAsia="方正仿宋_GBK" w:cs="Times New Roman"/>
          <w:color w:val="auto"/>
          <w:spacing w:val="0"/>
          <w:sz w:val="32"/>
          <w:szCs w:val="36"/>
          <w:highlight w:val="none"/>
        </w:rPr>
        <w:t>创新发展</w:t>
      </w:r>
      <w:r>
        <w:rPr>
          <w:rFonts w:hint="eastAsia" w:ascii="Times New Roman" w:hAnsi="Times New Roman" w:eastAsia="方正仿宋_GBK" w:cs="Times New Roman"/>
          <w:color w:val="auto"/>
          <w:kern w:val="2"/>
          <w:sz w:val="32"/>
          <w:szCs w:val="36"/>
          <w:highlight w:val="none"/>
          <w:lang w:val="en-US" w:eastAsia="zh-CN" w:bidi="ar"/>
        </w:rPr>
        <w:t>集聚区。</w:t>
      </w:r>
    </w:p>
    <w:p w14:paraId="7D9B7652">
      <w:pPr>
        <w:keepNext w:val="0"/>
        <w:keepLines w:val="0"/>
        <w:pageBreakBefore w:val="0"/>
        <w:widowControl w:val="0"/>
        <w:suppressAutoHyphens/>
        <w:kinsoku/>
        <w:wordWrap/>
        <w:overflowPunct/>
        <w:topLinePunct w:val="0"/>
        <w:autoSpaceDN/>
        <w:bidi w:val="0"/>
        <w:adjustRightInd/>
        <w:snapToGrid/>
        <w:spacing w:before="0" w:beforeLines="0" w:after="0" w:afterLines="0" w:line="590" w:lineRule="exact"/>
        <w:ind w:left="0" w:leftChars="0" w:firstLine="640" w:firstLineChars="200"/>
        <w:jc w:val="both"/>
        <w:textAlignment w:val="baseline"/>
        <w:rPr>
          <w:rFonts w:hint="eastAsia" w:ascii="Times New Roman" w:hAnsi="Times New Roman" w:eastAsia="宋体" w:cs="Times New Roman"/>
          <w:color w:val="auto"/>
          <w:kern w:val="2"/>
          <w:sz w:val="32"/>
          <w:szCs w:val="36"/>
          <w:lang w:val="en-US" w:eastAsia="zh-CN" w:bidi="ar-SA"/>
        </w:rPr>
      </w:pPr>
    </w:p>
    <w:p w14:paraId="0A5CF1DA">
      <w:pPr>
        <w:keepNext w:val="0"/>
        <w:keepLines w:val="0"/>
        <w:pageBreakBefore w:val="0"/>
        <w:widowControl w:val="0"/>
        <w:numPr>
          <w:ilvl w:val="0"/>
          <w:numId w:val="1"/>
        </w:numPr>
        <w:suppressLineNumbers w:val="0"/>
        <w:kinsoku/>
        <w:wordWrap/>
        <w:overflowPunct/>
        <w:topLinePunct w:val="0"/>
        <w:autoSpaceDE w:val="0"/>
        <w:autoSpaceDN/>
        <w:bidi w:val="0"/>
        <w:adjustRightInd/>
        <w:snapToGrid/>
        <w:spacing w:beforeLines="0" w:beforeAutospacing="0" w:afterLines="0" w:afterAutospacing="0" w:line="590" w:lineRule="exact"/>
        <w:ind w:left="0" w:leftChars="0" w:firstLine="0" w:firstLineChars="0"/>
        <w:jc w:val="center"/>
        <w:textAlignment w:val="auto"/>
        <w:outlineLvl w:val="1"/>
        <w:rPr>
          <w:rFonts w:hint="eastAsia" w:ascii="Times New Roman" w:hAnsi="Times New Roman" w:eastAsia="方正黑体_GBK" w:cs="Times New Roman"/>
          <w:b w:val="0"/>
          <w:bCs w:val="0"/>
          <w:color w:val="auto"/>
          <w:kern w:val="2"/>
          <w:sz w:val="32"/>
          <w:szCs w:val="36"/>
          <w:highlight w:val="none"/>
          <w:lang w:val="en-US" w:eastAsia="zh-CN" w:bidi="ar"/>
        </w:rPr>
      </w:pPr>
      <w:r>
        <w:rPr>
          <w:rFonts w:hint="eastAsia" w:ascii="Times New Roman" w:hAnsi="Times New Roman" w:eastAsia="方正黑体_GBK" w:cs="Times New Roman"/>
          <w:b w:val="0"/>
          <w:bCs w:val="0"/>
          <w:color w:val="auto"/>
          <w:kern w:val="2"/>
          <w:sz w:val="32"/>
          <w:szCs w:val="36"/>
          <w:highlight w:val="none"/>
          <w:lang w:val="en-US" w:eastAsia="zh-CN" w:bidi="ar"/>
        </w:rPr>
        <w:t>绩效评价</w:t>
      </w:r>
    </w:p>
    <w:p w14:paraId="3CA0AB7C">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rPr>
      </w:pPr>
      <w:r>
        <w:rPr>
          <w:rFonts w:hint="eastAsia" w:ascii="Times New Roman" w:hAnsi="Times New Roman" w:eastAsia="方正楷体_GBK" w:cs="Times New Roman"/>
          <w:b w:val="0"/>
          <w:bCs w:val="0"/>
          <w:color w:val="auto"/>
          <w:sz w:val="32"/>
          <w:szCs w:val="36"/>
          <w:highlight w:val="none"/>
          <w:lang w:val="en-US" w:eastAsia="zh-CN"/>
        </w:rPr>
        <w:t>第八条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kern w:val="2"/>
          <w:sz w:val="32"/>
          <w:szCs w:val="36"/>
          <w:highlight w:val="none"/>
          <w:lang w:eastAsia="zh-CN"/>
        </w:rPr>
        <w:t>省科技厅</w:t>
      </w:r>
      <w:r>
        <w:rPr>
          <w:rFonts w:hint="eastAsia" w:ascii="Times New Roman" w:hAnsi="Times New Roman" w:eastAsia="方正仿宋_GBK" w:cs="Times New Roman"/>
          <w:color w:val="auto"/>
          <w:kern w:val="2"/>
          <w:sz w:val="32"/>
          <w:szCs w:val="36"/>
          <w:highlight w:val="none"/>
        </w:rPr>
        <w:t>每年组织一次集聚区</w:t>
      </w:r>
      <w:r>
        <w:rPr>
          <w:rFonts w:hint="eastAsia" w:ascii="Times New Roman" w:hAnsi="Times New Roman" w:eastAsia="方正仿宋_GBK" w:cs="Times New Roman"/>
          <w:color w:val="auto"/>
          <w:kern w:val="2"/>
          <w:sz w:val="32"/>
          <w:szCs w:val="36"/>
          <w:highlight w:val="none"/>
          <w:lang w:val="en-US" w:eastAsia="zh-CN"/>
        </w:rPr>
        <w:t>绩效评价</w:t>
      </w:r>
      <w:r>
        <w:rPr>
          <w:rFonts w:hint="eastAsia" w:ascii="Times New Roman" w:hAnsi="Times New Roman" w:eastAsia="方正仿宋_GBK" w:cs="Times New Roman"/>
          <w:color w:val="auto"/>
          <w:kern w:val="2"/>
          <w:sz w:val="32"/>
          <w:szCs w:val="36"/>
          <w:highlight w:val="none"/>
        </w:rPr>
        <w:t>，</w:t>
      </w:r>
      <w:r>
        <w:rPr>
          <w:rFonts w:hint="eastAsia" w:ascii="Times New Roman" w:hAnsi="Times New Roman" w:eastAsia="方正仿宋_GBK" w:cs="Times New Roman"/>
          <w:color w:val="auto"/>
          <w:kern w:val="2"/>
          <w:sz w:val="32"/>
          <w:szCs w:val="36"/>
          <w:highlight w:val="none"/>
          <w:lang w:val="en-US" w:eastAsia="zh-CN"/>
        </w:rPr>
        <w:t>建设主体按照要求提交相关材料，由所在市科技</w:t>
      </w:r>
      <w:r>
        <w:rPr>
          <w:rFonts w:hint="eastAsia" w:ascii="Times New Roman" w:hAnsi="Times New Roman" w:eastAsia="方正仿宋_GBK" w:cs="Times New Roman"/>
          <w:color w:val="auto"/>
          <w:kern w:val="2"/>
          <w:sz w:val="32"/>
          <w:szCs w:val="36"/>
          <w:highlight w:val="none"/>
          <w:lang w:val="en-US" w:eastAsia="zh-CN" w:bidi="ar"/>
        </w:rPr>
        <w:t>部门</w:t>
      </w:r>
      <w:r>
        <w:rPr>
          <w:rFonts w:hint="eastAsia" w:ascii="Times New Roman" w:hAnsi="Times New Roman" w:eastAsia="方正仿宋_GBK" w:cs="Times New Roman"/>
          <w:color w:val="auto"/>
          <w:kern w:val="2"/>
          <w:sz w:val="32"/>
          <w:szCs w:val="36"/>
          <w:highlight w:val="none"/>
          <w:lang w:val="en-US" w:eastAsia="zh-CN"/>
        </w:rPr>
        <w:t>审核后报送。省科技厅组织专家评审，根据评价材料形成绩效评价结果予以公布。</w:t>
      </w:r>
    </w:p>
    <w:p w14:paraId="02219558">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lang w:eastAsia="zh-CN"/>
        </w:rPr>
      </w:pPr>
      <w:r>
        <w:rPr>
          <w:rFonts w:hint="eastAsia" w:ascii="Times New Roman" w:hAnsi="Times New Roman" w:eastAsia="方正楷体_GBK" w:cs="Times New Roman"/>
          <w:b w:val="0"/>
          <w:bCs w:val="0"/>
          <w:color w:val="auto"/>
          <w:sz w:val="32"/>
          <w:szCs w:val="36"/>
          <w:highlight w:val="none"/>
          <w:lang w:val="en-US" w:eastAsia="zh-CN"/>
        </w:rPr>
        <w:t>第九条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kern w:val="2"/>
          <w:sz w:val="32"/>
          <w:szCs w:val="36"/>
          <w:highlight w:val="none"/>
          <w:lang w:eastAsia="zh-CN"/>
        </w:rPr>
        <w:t>对</w:t>
      </w:r>
      <w:r>
        <w:rPr>
          <w:rFonts w:hint="eastAsia" w:ascii="Times New Roman" w:hAnsi="Times New Roman" w:eastAsia="方正仿宋_GBK" w:cs="Times New Roman"/>
          <w:color w:val="auto"/>
          <w:kern w:val="2"/>
          <w:sz w:val="32"/>
          <w:szCs w:val="36"/>
          <w:highlight w:val="none"/>
          <w:lang w:val="en-US" w:eastAsia="zh-CN"/>
        </w:rPr>
        <w:t>集聚区的综合评估</w:t>
      </w:r>
      <w:r>
        <w:rPr>
          <w:rFonts w:hint="eastAsia" w:ascii="Times New Roman" w:hAnsi="Times New Roman" w:eastAsia="方正仿宋_GBK" w:cs="Times New Roman"/>
          <w:color w:val="auto"/>
          <w:kern w:val="2"/>
          <w:sz w:val="32"/>
          <w:szCs w:val="36"/>
          <w:highlight w:val="none"/>
          <w:lang w:eastAsia="zh-CN"/>
        </w:rPr>
        <w:t>，主要包括：</w:t>
      </w:r>
      <w:r>
        <w:rPr>
          <w:rFonts w:hint="eastAsia" w:ascii="Times New Roman" w:hAnsi="Times New Roman" w:eastAsia="方正仿宋_GBK" w:cs="Times New Roman"/>
          <w:color w:val="auto"/>
          <w:kern w:val="2"/>
          <w:sz w:val="32"/>
          <w:szCs w:val="36"/>
          <w:highlight w:val="none"/>
          <w:lang w:val="en-US" w:eastAsia="zh-CN"/>
        </w:rPr>
        <w:t>产业发展、创新能力、企业集聚、产业生态、支撑保障等情况。</w:t>
      </w:r>
    </w:p>
    <w:p w14:paraId="0260912B">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rightChars="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rPr>
      </w:pPr>
      <w:r>
        <w:rPr>
          <w:rFonts w:hint="eastAsia" w:ascii="Times New Roman" w:hAnsi="Times New Roman" w:eastAsia="方正仿宋_GBK" w:cs="Times New Roman"/>
          <w:color w:val="auto"/>
          <w:kern w:val="2"/>
          <w:sz w:val="32"/>
          <w:szCs w:val="36"/>
          <w:highlight w:val="none"/>
          <w:lang w:val="en-US" w:eastAsia="zh-CN"/>
        </w:rPr>
        <w:t>产业发展主要考察：规模以上科技服务业企业数量、净增规上科技服务业企业数量、营业收入总额、营业收入增速、利润、从业人员数量及科技服务业固定资产投资等情况。</w:t>
      </w:r>
    </w:p>
    <w:p w14:paraId="5273C674">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rightChars="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rPr>
      </w:pPr>
      <w:r>
        <w:rPr>
          <w:rFonts w:hint="eastAsia" w:ascii="Times New Roman" w:hAnsi="Times New Roman" w:eastAsia="方正仿宋_GBK" w:cs="Times New Roman"/>
          <w:color w:val="auto"/>
          <w:kern w:val="2"/>
          <w:sz w:val="32"/>
          <w:szCs w:val="36"/>
          <w:highlight w:val="none"/>
          <w:lang w:val="en-US" w:eastAsia="zh-CN"/>
        </w:rPr>
        <w:t>创新能力主要考察：研发投入、创新平台载体、有效发明专利、省级及以上科技进步奖等情况。</w:t>
      </w:r>
    </w:p>
    <w:p w14:paraId="40744A77">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rightChars="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rPr>
      </w:pPr>
      <w:r>
        <w:rPr>
          <w:rFonts w:hint="eastAsia" w:ascii="Times New Roman" w:hAnsi="Times New Roman" w:eastAsia="方正仿宋_GBK" w:cs="Times New Roman"/>
          <w:color w:val="auto"/>
          <w:kern w:val="2"/>
          <w:sz w:val="32"/>
          <w:szCs w:val="36"/>
          <w:highlight w:val="none"/>
          <w:lang w:val="en-US" w:eastAsia="zh-CN"/>
        </w:rPr>
        <w:t>企业集聚主要考察：入选</w:t>
      </w:r>
      <w:r>
        <w:rPr>
          <w:rFonts w:hint="eastAsia" w:ascii="Times New Roman" w:hAnsi="Times New Roman" w:eastAsia="方正仿宋_GBK" w:cs="Times New Roman"/>
          <w:i w:val="0"/>
          <w:color w:val="auto"/>
          <w:kern w:val="2"/>
          <w:sz w:val="32"/>
          <w:szCs w:val="36"/>
          <w:highlight w:val="none"/>
          <w:u w:val="none"/>
          <w:lang w:val="en-US" w:eastAsia="zh-CN" w:bidi="ar"/>
        </w:rPr>
        <w:t>安徽服务业百强企业</w:t>
      </w:r>
      <w:r>
        <w:rPr>
          <w:rFonts w:hint="eastAsia" w:ascii="Times New Roman" w:hAnsi="Times New Roman" w:eastAsia="方正仿宋_GBK" w:cs="Times New Roman"/>
          <w:color w:val="auto"/>
          <w:kern w:val="2"/>
          <w:sz w:val="32"/>
          <w:szCs w:val="36"/>
          <w:highlight w:val="none"/>
          <w:lang w:val="en-US" w:eastAsia="zh-CN"/>
        </w:rPr>
        <w:t>、上市企业、独角兽（潜在）企业、专精特新“小巨人”企业、高新技术企业、科技型中小企业数量，以及科技服务业机构招引落地等情况。</w:t>
      </w:r>
    </w:p>
    <w:p w14:paraId="3AB23AB9">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rightChars="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rPr>
      </w:pPr>
      <w:r>
        <w:rPr>
          <w:rFonts w:hint="eastAsia" w:ascii="Times New Roman" w:hAnsi="Times New Roman" w:eastAsia="方正仿宋_GBK" w:cs="Times New Roman"/>
          <w:color w:val="auto"/>
          <w:kern w:val="2"/>
          <w:sz w:val="32"/>
          <w:szCs w:val="36"/>
          <w:highlight w:val="none"/>
          <w:lang w:val="en-US" w:eastAsia="zh-CN"/>
        </w:rPr>
        <w:t>产业生态主要考察：高层次人才、多元化基金等要素集聚、创新协同发展、对外开放交流合作及特色品牌打造等情况。</w:t>
      </w:r>
    </w:p>
    <w:p w14:paraId="121440AA">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rightChars="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rPr>
      </w:pPr>
      <w:r>
        <w:rPr>
          <w:rFonts w:hint="eastAsia" w:ascii="Times New Roman" w:hAnsi="Times New Roman" w:eastAsia="方正仿宋_GBK" w:cs="Times New Roman"/>
          <w:color w:val="auto"/>
          <w:kern w:val="2"/>
          <w:sz w:val="32"/>
          <w:szCs w:val="36"/>
          <w:highlight w:val="none"/>
          <w:lang w:val="en-US" w:eastAsia="zh-CN"/>
        </w:rPr>
        <w:t>支撑保障主要考察：体制机制改革探索、相关政策规划情况，发展组织工作成效，园区运营服务体系建设水平等组织保障情况。</w:t>
      </w:r>
    </w:p>
    <w:p w14:paraId="6018EFE1">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b w:val="0"/>
          <w:bCs w:val="0"/>
          <w:color w:val="auto"/>
          <w:kern w:val="2"/>
          <w:sz w:val="32"/>
          <w:szCs w:val="36"/>
          <w:highlight w:val="none"/>
          <w:lang w:val="en-US" w:eastAsia="zh-CN" w:bidi="ar"/>
        </w:rPr>
      </w:pPr>
      <w:r>
        <w:rPr>
          <w:rFonts w:hint="eastAsia" w:ascii="Times New Roman" w:hAnsi="Times New Roman" w:eastAsia="方正楷体_GBK" w:cs="Times New Roman"/>
          <w:b w:val="0"/>
          <w:bCs w:val="0"/>
          <w:color w:val="auto"/>
          <w:sz w:val="32"/>
          <w:szCs w:val="36"/>
          <w:highlight w:val="none"/>
          <w:lang w:val="en-US" w:eastAsia="zh-CN"/>
        </w:rPr>
        <w:t>第十条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sz w:val="32"/>
          <w:szCs w:val="36"/>
          <w:highlight w:val="none"/>
          <w:lang w:val="en-US" w:eastAsia="zh-CN"/>
        </w:rPr>
        <w:t>根据绩效评价成绩由高到低排序，按一定比例分别给予优秀、合格、不合格三类评价结果</w:t>
      </w:r>
      <w:r>
        <w:rPr>
          <w:rFonts w:hint="eastAsia" w:ascii="Times New Roman" w:hAnsi="Times New Roman" w:eastAsia="方正仿宋_GBK" w:cs="Times New Roman"/>
          <w:b w:val="0"/>
          <w:bCs w:val="0"/>
          <w:color w:val="auto"/>
          <w:kern w:val="2"/>
          <w:sz w:val="32"/>
          <w:szCs w:val="36"/>
          <w:highlight w:val="none"/>
        </w:rPr>
        <w:t>，</w:t>
      </w:r>
      <w:r>
        <w:rPr>
          <w:rFonts w:hint="eastAsia" w:ascii="Times New Roman" w:hAnsi="Times New Roman" w:eastAsia="方正仿宋_GBK" w:cs="Times New Roman"/>
          <w:color w:val="auto"/>
          <w:sz w:val="32"/>
          <w:szCs w:val="36"/>
          <w:highlight w:val="none"/>
          <w:lang w:val="en-US" w:eastAsia="zh-CN"/>
        </w:rPr>
        <w:t>原则上优秀比例不超过当年参评集聚区的30%，</w:t>
      </w:r>
      <w:r>
        <w:rPr>
          <w:rFonts w:hint="eastAsia" w:ascii="Times New Roman" w:hAnsi="Times New Roman" w:eastAsia="方正仿宋_GBK" w:cs="Times New Roman"/>
          <w:b w:val="0"/>
          <w:bCs w:val="0"/>
          <w:color w:val="auto"/>
          <w:kern w:val="2"/>
          <w:sz w:val="32"/>
          <w:szCs w:val="36"/>
          <w:highlight w:val="none"/>
          <w:lang w:val="en-US" w:eastAsia="zh-CN"/>
        </w:rPr>
        <w:t>结果</w:t>
      </w:r>
      <w:r>
        <w:rPr>
          <w:rFonts w:hint="eastAsia" w:ascii="Times New Roman" w:hAnsi="Times New Roman" w:eastAsia="方正仿宋_GBK" w:cs="Times New Roman"/>
          <w:b w:val="0"/>
          <w:bCs w:val="0"/>
          <w:color w:val="auto"/>
          <w:kern w:val="2"/>
          <w:sz w:val="32"/>
          <w:szCs w:val="36"/>
          <w:highlight w:val="none"/>
        </w:rPr>
        <w:t>在</w:t>
      </w:r>
      <w:r>
        <w:rPr>
          <w:rFonts w:hint="eastAsia" w:ascii="Times New Roman" w:hAnsi="Times New Roman" w:eastAsia="方正仿宋_GBK" w:cs="Times New Roman"/>
          <w:b w:val="0"/>
          <w:bCs w:val="0"/>
          <w:color w:val="auto"/>
          <w:kern w:val="2"/>
          <w:sz w:val="32"/>
          <w:szCs w:val="36"/>
          <w:highlight w:val="none"/>
          <w:lang w:eastAsia="zh-CN"/>
        </w:rPr>
        <w:t>省科技厅</w:t>
      </w:r>
      <w:r>
        <w:rPr>
          <w:rFonts w:hint="eastAsia" w:ascii="Times New Roman" w:hAnsi="Times New Roman" w:eastAsia="方正仿宋_GBK" w:cs="Times New Roman"/>
          <w:b w:val="0"/>
          <w:bCs w:val="0"/>
          <w:color w:val="auto"/>
          <w:kern w:val="2"/>
          <w:sz w:val="32"/>
          <w:szCs w:val="36"/>
          <w:highlight w:val="none"/>
        </w:rPr>
        <w:t>门户网站上公布。</w:t>
      </w:r>
      <w:r>
        <w:rPr>
          <w:rFonts w:hint="eastAsia" w:ascii="Times New Roman" w:hAnsi="Times New Roman" w:eastAsia="方正仿宋_GBK" w:cs="Times New Roman"/>
          <w:b w:val="0"/>
          <w:bCs w:val="0"/>
          <w:color w:val="auto"/>
          <w:kern w:val="2"/>
          <w:sz w:val="32"/>
          <w:szCs w:val="36"/>
          <w:highlight w:val="none"/>
          <w:lang w:val="en-US" w:eastAsia="zh-CN"/>
        </w:rPr>
        <w:t>评估优秀的给予100万元-300万元资金支持</w:t>
      </w:r>
      <w:r>
        <w:rPr>
          <w:rFonts w:hint="eastAsia" w:ascii="Times New Roman" w:hAnsi="Times New Roman" w:eastAsia="方正仿宋_GBK" w:cs="Times New Roman"/>
          <w:color w:val="auto"/>
          <w:sz w:val="32"/>
          <w:szCs w:val="36"/>
          <w:highlight w:val="none"/>
          <w:lang w:eastAsia="zh-CN"/>
        </w:rPr>
        <w:t>，</w:t>
      </w:r>
      <w:r>
        <w:rPr>
          <w:rFonts w:hint="eastAsia" w:ascii="Times New Roman" w:hAnsi="Times New Roman" w:eastAsia="方正仿宋_GBK" w:cs="Times New Roman"/>
          <w:i w:val="0"/>
          <w:iCs w:val="0"/>
          <w:caps w:val="0"/>
          <w:color w:val="auto"/>
          <w:spacing w:val="0"/>
          <w:sz w:val="32"/>
          <w:szCs w:val="36"/>
          <w:highlight w:val="none"/>
          <w:shd w:val="clear" w:color="auto" w:fill="auto"/>
        </w:rPr>
        <w:t>用于对</w:t>
      </w:r>
      <w:r>
        <w:rPr>
          <w:rFonts w:hint="eastAsia" w:ascii="Times New Roman" w:hAnsi="Times New Roman" w:eastAsia="方正仿宋_GBK" w:cs="Times New Roman"/>
          <w:i w:val="0"/>
          <w:iCs w:val="0"/>
          <w:caps w:val="0"/>
          <w:color w:val="auto"/>
          <w:spacing w:val="0"/>
          <w:sz w:val="32"/>
          <w:szCs w:val="36"/>
          <w:highlight w:val="none"/>
          <w:shd w:val="clear" w:color="auto" w:fill="auto"/>
          <w:lang w:eastAsia="zh-CN"/>
        </w:rPr>
        <w:t>集聚</w:t>
      </w:r>
      <w:r>
        <w:rPr>
          <w:rFonts w:hint="eastAsia" w:ascii="Times New Roman" w:hAnsi="Times New Roman" w:eastAsia="方正仿宋_GBK" w:cs="Times New Roman"/>
          <w:i w:val="0"/>
          <w:iCs w:val="0"/>
          <w:caps w:val="0"/>
          <w:color w:val="auto"/>
          <w:spacing w:val="0"/>
          <w:sz w:val="32"/>
          <w:szCs w:val="36"/>
          <w:highlight w:val="none"/>
          <w:shd w:val="clear" w:color="auto" w:fill="auto"/>
        </w:rPr>
        <w:t>区</w:t>
      </w:r>
      <w:r>
        <w:rPr>
          <w:rFonts w:hint="eastAsia" w:ascii="Times New Roman" w:hAnsi="Times New Roman" w:eastAsia="方正仿宋_GBK" w:cs="Times New Roman"/>
          <w:i w:val="0"/>
          <w:iCs w:val="0"/>
          <w:caps w:val="0"/>
          <w:color w:val="auto"/>
          <w:spacing w:val="0"/>
          <w:sz w:val="32"/>
          <w:szCs w:val="36"/>
          <w:highlight w:val="none"/>
          <w:shd w:val="clear" w:color="auto" w:fill="auto"/>
          <w:lang w:val="en-US" w:eastAsia="zh-CN"/>
        </w:rPr>
        <w:t>科技</w:t>
      </w:r>
      <w:r>
        <w:rPr>
          <w:rFonts w:hint="eastAsia" w:ascii="Times New Roman" w:hAnsi="Times New Roman" w:eastAsia="方正仿宋_GBK" w:cs="Times New Roman"/>
          <w:i w:val="0"/>
          <w:iCs w:val="0"/>
          <w:caps w:val="0"/>
          <w:color w:val="auto"/>
          <w:spacing w:val="0"/>
          <w:sz w:val="32"/>
          <w:szCs w:val="36"/>
          <w:highlight w:val="none"/>
          <w:shd w:val="clear" w:color="auto" w:fill="auto"/>
        </w:rPr>
        <w:t>服务业企业扶持</w:t>
      </w:r>
      <w:r>
        <w:rPr>
          <w:rFonts w:hint="eastAsia" w:ascii="Times New Roman" w:hAnsi="Times New Roman" w:eastAsia="方正仿宋_GBK" w:cs="Times New Roman"/>
          <w:i w:val="0"/>
          <w:iCs w:val="0"/>
          <w:caps w:val="0"/>
          <w:color w:val="auto"/>
          <w:spacing w:val="0"/>
          <w:sz w:val="32"/>
          <w:szCs w:val="36"/>
          <w:highlight w:val="none"/>
          <w:shd w:val="clear" w:color="auto" w:fill="auto"/>
          <w:lang w:eastAsia="zh-CN"/>
        </w:rPr>
        <w:t>、</w:t>
      </w:r>
      <w:r>
        <w:rPr>
          <w:rFonts w:hint="eastAsia" w:ascii="Times New Roman" w:hAnsi="Times New Roman" w:eastAsia="方正仿宋_GBK" w:cs="Times New Roman"/>
          <w:i w:val="0"/>
          <w:iCs w:val="0"/>
          <w:caps w:val="0"/>
          <w:color w:val="auto"/>
          <w:spacing w:val="0"/>
          <w:sz w:val="32"/>
          <w:szCs w:val="36"/>
          <w:highlight w:val="none"/>
          <w:shd w:val="clear" w:color="auto" w:fill="auto"/>
          <w:lang w:val="en-US" w:eastAsia="zh-CN"/>
        </w:rPr>
        <w:t>公共服务平台建设等，</w:t>
      </w:r>
      <w:r>
        <w:rPr>
          <w:rFonts w:hint="eastAsia" w:ascii="Times New Roman" w:hAnsi="Times New Roman" w:eastAsia="方正仿宋_GBK" w:cs="Times New Roman"/>
          <w:color w:val="auto"/>
          <w:sz w:val="32"/>
          <w:szCs w:val="36"/>
          <w:highlight w:val="none"/>
          <w:lang w:val="en-US" w:eastAsia="zh-CN"/>
        </w:rPr>
        <w:t>并支持</w:t>
      </w:r>
      <w:r>
        <w:rPr>
          <w:rFonts w:hint="eastAsia" w:ascii="Times New Roman" w:hAnsi="Times New Roman" w:eastAsia="方正仿宋_GBK" w:cs="Times New Roman"/>
          <w:b w:val="0"/>
          <w:bCs w:val="0"/>
          <w:color w:val="auto"/>
          <w:kern w:val="2"/>
          <w:sz w:val="32"/>
          <w:szCs w:val="36"/>
          <w:highlight w:val="none"/>
          <w:lang w:val="en-US" w:eastAsia="zh-CN"/>
        </w:rPr>
        <w:t>申报国家科技服务业创新发展集聚区</w:t>
      </w:r>
      <w:r>
        <w:rPr>
          <w:rFonts w:hint="eastAsia" w:ascii="Times New Roman" w:hAnsi="Times New Roman" w:eastAsia="方正仿宋_GBK" w:cs="Times New Roman"/>
          <w:i w:val="0"/>
          <w:iCs w:val="0"/>
          <w:caps w:val="0"/>
          <w:color w:val="auto"/>
          <w:spacing w:val="0"/>
          <w:sz w:val="32"/>
          <w:szCs w:val="36"/>
          <w:highlight w:val="none"/>
          <w:shd w:val="clear" w:color="auto" w:fill="auto"/>
          <w:lang w:val="en-US" w:eastAsia="zh-CN"/>
        </w:rPr>
        <w:t>；评估不合格的需在6个月内完成整改，在整改时限内再次提交评价材料，经所在市科技部门审核把关后，由省科技厅重新组织评估。整改后评估仍不</w:t>
      </w:r>
      <w:r>
        <w:rPr>
          <w:rFonts w:hint="eastAsia" w:ascii="Times New Roman" w:hAnsi="Times New Roman" w:eastAsia="方正仿宋_GBK" w:cs="Times New Roman"/>
          <w:b w:val="0"/>
          <w:bCs w:val="0"/>
          <w:color w:val="auto"/>
          <w:kern w:val="2"/>
          <w:sz w:val="32"/>
          <w:szCs w:val="36"/>
          <w:highlight w:val="none"/>
          <w:lang w:val="en-US" w:eastAsia="zh-CN" w:bidi="ar"/>
        </w:rPr>
        <w:t>合格的，退出集聚区建设</w:t>
      </w:r>
      <w:r>
        <w:rPr>
          <w:rFonts w:hint="eastAsia" w:ascii="Times New Roman" w:hAnsi="Times New Roman" w:eastAsia="方正仿宋_GBK" w:cs="Times New Roman"/>
          <w:b w:val="0"/>
          <w:bCs w:val="0"/>
          <w:color w:val="auto"/>
          <w:kern w:val="2"/>
          <w:sz w:val="32"/>
          <w:szCs w:val="36"/>
          <w:highlight w:val="none"/>
          <w:lang w:eastAsia="zh-CN"/>
        </w:rPr>
        <w:t>。</w:t>
      </w:r>
      <w:r>
        <w:rPr>
          <w:rFonts w:hint="eastAsia" w:ascii="Times New Roman" w:hAnsi="Times New Roman" w:eastAsia="方正仿宋_GBK" w:cs="Times New Roman"/>
          <w:b w:val="0"/>
          <w:bCs w:val="0"/>
          <w:color w:val="auto"/>
          <w:kern w:val="2"/>
          <w:sz w:val="32"/>
          <w:szCs w:val="36"/>
          <w:highlight w:val="none"/>
          <w:lang w:val="en-US" w:eastAsia="zh-CN" w:bidi="ar"/>
        </w:rPr>
        <w:t>不参加评估的视为不合格。</w:t>
      </w:r>
    </w:p>
    <w:p w14:paraId="61B8E8F1">
      <w:pPr>
        <w:keepNext w:val="0"/>
        <w:keepLines w:val="0"/>
        <w:pageBreakBefore w:val="0"/>
        <w:widowControl w:val="0"/>
        <w:numPr>
          <w:ilvl w:val="0"/>
          <w:numId w:val="0"/>
        </w:numPr>
        <w:suppressLineNumbers w:val="0"/>
        <w:suppressAutoHyphens/>
        <w:kinsoku/>
        <w:wordWrap/>
        <w:overflowPunct/>
        <w:topLinePunct w:val="0"/>
        <w:autoSpaceDE w:val="0"/>
        <w:autoSpaceDN/>
        <w:bidi w:val="0"/>
        <w:adjustRightInd/>
        <w:snapToGrid/>
        <w:spacing w:beforeLines="0" w:beforeAutospacing="0" w:afterLines="0" w:afterAutospacing="0" w:line="590" w:lineRule="exact"/>
        <w:ind w:left="0" w:leftChars="0" w:right="0" w:firstLine="640" w:firstLineChars="200"/>
        <w:jc w:val="both"/>
        <w:textAlignment w:val="auto"/>
        <w:rPr>
          <w:rFonts w:hint="eastAsia" w:ascii="Times New Roman" w:hAnsi="Times New Roman" w:eastAsia="方正仿宋_GBK" w:cs="Times New Roman"/>
          <w:color w:val="auto"/>
          <w:kern w:val="2"/>
          <w:sz w:val="32"/>
          <w:szCs w:val="36"/>
          <w:highlight w:val="none"/>
          <w:lang w:val="en-US" w:eastAsia="zh-CN" w:bidi="ar"/>
        </w:rPr>
      </w:pPr>
      <w:r>
        <w:rPr>
          <w:rFonts w:hint="eastAsia" w:ascii="Times New Roman" w:hAnsi="Times New Roman" w:eastAsia="方正楷体_GBK" w:cs="Times New Roman"/>
          <w:b w:val="0"/>
          <w:bCs w:val="0"/>
          <w:color w:val="auto"/>
          <w:sz w:val="32"/>
          <w:szCs w:val="36"/>
          <w:highlight w:val="none"/>
          <w:lang w:val="en-US" w:eastAsia="zh-CN"/>
        </w:rPr>
        <w:t>第十一条</w:t>
      </w:r>
      <w:r>
        <w:rPr>
          <w:rFonts w:hint="eastAsia" w:ascii="Times New Roman" w:hAnsi="Times New Roman" w:eastAsia="方正仿宋_GBK" w:cs="Times New Roman"/>
          <w:b w:val="0"/>
          <w:bCs w:val="0"/>
          <w:color w:val="auto"/>
          <w:sz w:val="32"/>
          <w:szCs w:val="36"/>
          <w:highlight w:val="none"/>
          <w:lang w:val="en-US" w:eastAsia="zh-CN"/>
        </w:rPr>
        <w:t xml:space="preserve"> </w:t>
      </w:r>
      <w:r>
        <w:rPr>
          <w:rFonts w:hint="eastAsia" w:ascii="Times New Roman" w:hAnsi="Times New Roman" w:eastAsia="方正仿宋_GBK" w:cs="Times New Roman"/>
          <w:color w:val="auto"/>
          <w:kern w:val="2"/>
          <w:sz w:val="32"/>
          <w:szCs w:val="36"/>
          <w:highlight w:val="none"/>
          <w:lang w:val="en-US" w:eastAsia="zh-CN" w:bidi="ar"/>
        </w:rPr>
        <w:t>集聚区应依法组织、管理集聚区的统计工作，定期向省科技厅报送集聚区建设有关情况。</w:t>
      </w:r>
    </w:p>
    <w:p w14:paraId="150EE058">
      <w:pPr>
        <w:keepNext w:val="0"/>
        <w:keepLines w:val="0"/>
        <w:pageBreakBefore w:val="0"/>
        <w:widowControl w:val="0"/>
        <w:kinsoku/>
        <w:wordWrap/>
        <w:overflowPunct/>
        <w:topLinePunct w:val="0"/>
        <w:autoSpaceDN/>
        <w:bidi w:val="0"/>
        <w:adjustRightInd/>
        <w:snapToGrid/>
        <w:spacing w:beforeLines="0" w:afterLines="0" w:line="590" w:lineRule="exact"/>
        <w:ind w:firstLine="640" w:firstLineChars="200"/>
        <w:jc w:val="both"/>
        <w:textAlignment w:val="auto"/>
        <w:rPr>
          <w:rFonts w:hint="eastAsia" w:ascii="Times New Roman" w:hAnsi="Times New Roman" w:eastAsia="方正仿宋_GBK" w:cs="Times New Roman"/>
          <w:kern w:val="2"/>
          <w:sz w:val="32"/>
          <w:szCs w:val="36"/>
          <w:lang w:val="en-US" w:eastAsia="zh-CN" w:bidi="ar-SA"/>
        </w:rPr>
      </w:pPr>
    </w:p>
    <w:p w14:paraId="2FB81BC8">
      <w:pPr>
        <w:keepNext w:val="0"/>
        <w:keepLines w:val="0"/>
        <w:pageBreakBefore w:val="0"/>
        <w:widowControl w:val="0"/>
        <w:kinsoku/>
        <w:wordWrap/>
        <w:overflowPunct/>
        <w:topLinePunct w:val="0"/>
        <w:autoSpaceDN/>
        <w:bidi w:val="0"/>
        <w:adjustRightInd/>
        <w:snapToGrid/>
        <w:spacing w:beforeLines="0" w:beforeAutospacing="0" w:afterLines="0" w:line="590" w:lineRule="exact"/>
        <w:ind w:left="0" w:leftChars="0" w:firstLine="0" w:firstLineChars="0"/>
        <w:jc w:val="center"/>
        <w:textAlignment w:val="auto"/>
        <w:rPr>
          <w:rFonts w:hint="eastAsia" w:ascii="Times New Roman" w:hAnsi="Times New Roman" w:eastAsia="方正黑体_GBK" w:cs="Times New Roman"/>
          <w:b w:val="0"/>
          <w:bCs w:val="0"/>
          <w:color w:val="auto"/>
          <w:kern w:val="2"/>
          <w:sz w:val="32"/>
          <w:szCs w:val="36"/>
          <w:highlight w:val="none"/>
          <w:lang w:val="en-US" w:eastAsia="zh-CN" w:bidi="ar"/>
        </w:rPr>
      </w:pPr>
      <w:r>
        <w:rPr>
          <w:rFonts w:hint="eastAsia" w:ascii="Times New Roman" w:hAnsi="Times New Roman" w:eastAsia="方正黑体_GBK" w:cs="Times New Roman"/>
          <w:color w:val="auto"/>
          <w:kern w:val="2"/>
          <w:sz w:val="32"/>
          <w:szCs w:val="36"/>
          <w:highlight w:val="none"/>
          <w:lang w:val="en-US" w:eastAsia="zh-CN" w:bidi="ar"/>
        </w:rPr>
        <w:t xml:space="preserve">第四章 </w:t>
      </w:r>
      <w:r>
        <w:rPr>
          <w:rFonts w:hint="eastAsia" w:ascii="Times New Roman" w:hAnsi="Times New Roman" w:eastAsia="方正黑体_GBK" w:cs="Times New Roman"/>
          <w:b w:val="0"/>
          <w:bCs w:val="0"/>
          <w:color w:val="auto"/>
          <w:kern w:val="2"/>
          <w:sz w:val="32"/>
          <w:szCs w:val="36"/>
          <w:highlight w:val="none"/>
          <w:lang w:val="en-US" w:eastAsia="zh-CN" w:bidi="ar"/>
        </w:rPr>
        <w:t>附则</w:t>
      </w:r>
    </w:p>
    <w:p w14:paraId="4EBE01E4">
      <w:pPr>
        <w:numPr>
          <w:ilvl w:val="0"/>
          <w:numId w:val="0"/>
        </w:numPr>
        <w:autoSpaceDE w:val="0"/>
        <w:spacing w:beforeLines="0" w:afterLines="0" w:line="590" w:lineRule="exact"/>
        <w:ind w:firstLine="640" w:firstLineChars="200"/>
        <w:jc w:val="both"/>
        <w:rPr>
          <w:rFonts w:hint="eastAsia" w:ascii="Times New Roman" w:hAnsi="Times New Roman" w:eastAsia="方正仿宋_GBK" w:cs="Times New Roman"/>
          <w:b w:val="0"/>
          <w:bCs w:val="0"/>
          <w:color w:val="auto"/>
          <w:kern w:val="2"/>
          <w:sz w:val="32"/>
          <w:szCs w:val="36"/>
          <w:highlight w:val="none"/>
          <w:lang w:val="en-US" w:eastAsia="zh-CN" w:bidi="ar"/>
        </w:rPr>
      </w:pPr>
      <w:r>
        <w:rPr>
          <w:rFonts w:hint="eastAsia" w:ascii="Times New Roman" w:hAnsi="Times New Roman" w:eastAsia="方正楷体_GBK" w:cs="Times New Roman"/>
          <w:b w:val="0"/>
          <w:bCs w:val="0"/>
          <w:color w:val="auto"/>
          <w:kern w:val="2"/>
          <w:sz w:val="32"/>
          <w:szCs w:val="36"/>
          <w:highlight w:val="none"/>
          <w:lang w:val="en-US" w:eastAsia="zh-CN" w:bidi="ar"/>
        </w:rPr>
        <w:t xml:space="preserve">第十二条 </w:t>
      </w:r>
      <w:r>
        <w:rPr>
          <w:rFonts w:hint="eastAsia" w:ascii="Times New Roman" w:hAnsi="Times New Roman" w:eastAsia="方正仿宋_GBK" w:cs="Times New Roman"/>
          <w:b w:val="0"/>
          <w:bCs w:val="0"/>
          <w:color w:val="auto"/>
          <w:kern w:val="2"/>
          <w:sz w:val="32"/>
          <w:szCs w:val="36"/>
          <w:highlight w:val="none"/>
          <w:lang w:val="en-US" w:eastAsia="zh-CN" w:bidi="ar"/>
        </w:rPr>
        <w:t>本办法由省科技厅负责解释，</w:t>
      </w:r>
      <w:r>
        <w:rPr>
          <w:rFonts w:hint="eastAsia" w:ascii="Times New Roman" w:hAnsi="Times New Roman" w:eastAsia="方正仿宋_GBK" w:cs="Times New Roman"/>
          <w:b w:val="0"/>
          <w:bCs w:val="0"/>
          <w:caps w:val="0"/>
          <w:color w:val="auto"/>
          <w:spacing w:val="0"/>
          <w:kern w:val="2"/>
          <w:sz w:val="32"/>
          <w:szCs w:val="36"/>
          <w:highlight w:val="none"/>
          <w:shd w:val="clear" w:color="auto" w:fill="auto"/>
          <w:lang w:val="en-US" w:eastAsia="zh-CN" w:bidi="ar"/>
        </w:rPr>
        <w:t>自公布之日起施行</w:t>
      </w:r>
      <w:r>
        <w:rPr>
          <w:rFonts w:hint="eastAsia" w:ascii="Times New Roman" w:hAnsi="Times New Roman" w:eastAsia="方正仿宋_GBK" w:cs="Times New Roman"/>
          <w:b w:val="0"/>
          <w:bCs w:val="0"/>
          <w:color w:val="auto"/>
          <w:kern w:val="2"/>
          <w:sz w:val="32"/>
          <w:szCs w:val="36"/>
          <w:highlight w:val="none"/>
          <w:lang w:val="en-US" w:eastAsia="zh-CN" w:bidi="ar"/>
        </w:rPr>
        <w:t>，有效期至2027年12月31日。</w:t>
      </w:r>
    </w:p>
    <w:p w14:paraId="6B494590">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仿宋">
    <w:altName w:val="仿宋"/>
    <w:panose1 w:val="02010600040101010101"/>
    <w:charset w:val="00"/>
    <w:family w:val="auto"/>
    <w:pitch w:val="default"/>
    <w:sig w:usb0="00000000" w:usb1="0000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D7F2DA"/>
    <w:multiLevelType w:val="multilevel"/>
    <w:tmpl w:val="F5D7F2DA"/>
    <w:lvl w:ilvl="0" w:tentative="0">
      <w:start w:val="1"/>
      <w:numFmt w:val="chineseCounting"/>
      <w:suff w:val="space"/>
      <w:lvlText w:val="第%1章"/>
      <w:lvlJc w:val="left"/>
      <w:pPr>
        <w:ind w:left="0" w:firstLine="0"/>
      </w:pPr>
      <w:rPr>
        <w:rFonts w:hint="eastAsia" w:ascii="黑体" w:hAnsi="黑体" w:eastAsia="黑体" w:cs="黑体"/>
        <w:b w:val="0"/>
        <w:bCs w:val="0"/>
        <w:sz w:val="32"/>
        <w:szCs w:val="3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B92FFC"/>
    <w:rsid w:val="76B92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Times New Roman" w:hAnsi="Times New Roman" w:eastAsia="方正仿宋_GBK" w:cs="Times New Roman"/>
      <w:kern w:val="2"/>
      <w:sz w:val="32"/>
      <w:szCs w:val="24"/>
      <w:lang w:val="en-US" w:eastAsia="zh-CN" w:bidi="ar-SA"/>
    </w:rPr>
  </w:style>
  <w:style w:type="paragraph" w:styleId="2">
    <w:name w:val="heading 4"/>
    <w:next w:val="1"/>
    <w:qFormat/>
    <w:uiPriority w:val="0"/>
    <w:pPr>
      <w:keepNext/>
      <w:keepLines/>
      <w:widowControl w:val="0"/>
      <w:spacing w:before="280" w:after="290" w:line="376" w:lineRule="auto"/>
      <w:ind w:firstLine="883" w:firstLineChars="200"/>
      <w:jc w:val="both"/>
      <w:outlineLvl w:val="3"/>
    </w:pPr>
    <w:rPr>
      <w:rFonts w:ascii="Arial" w:hAnsi="Arial" w:eastAsia="黑体" w:cs="Times New Roman"/>
      <w:b/>
      <w:bCs/>
      <w:kern w:val="2"/>
      <w:sz w:val="28"/>
      <w:szCs w:val="28"/>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2026-06-24T08:29:00Z</dcterms:created>
  <dc:creator>何玉清</dc:creator>
  <cp:lastModifiedBy>何玉清</cp:lastModifiedBy>
  <dcterms:modified xsi:type="dcterms:W3CDTF">2026-06-24T08:30:13Z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6CD113B15C34455F85F7C748EC78F824_11</vt:lpwstr>
  </property>
  <property fmtid="{D5CDD505-2E9C-101B-9397-08002B2CF9AE}" pid="4" name="KSOTemplateDocerSaveRecord">
    <vt:lpwstr>eyJoZGlkIjoiMDU2ZjVjOWIzZjVjZWI0MjIwZGZlODk2MmFmNTIzZTQiLCJ1c2VySWQiOiI1NzEwNzY0NDEifQ==</vt:lpwstr>
  </property>
</Properties>
</file>