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31A4D">
      <w:pPr>
        <w:widowControl w:val="0"/>
        <w:numPr>
          <w:ilvl w:val="0"/>
          <w:numId w:val="0"/>
        </w:numPr>
        <w:suppressAutoHyphens/>
        <w:bidi w:val="0"/>
        <w:jc w:val="both"/>
        <w:rPr>
          <w:rFonts w:hint="default" w:ascii="Times New Roman" w:hAnsi="Times New Roman" w:eastAsia="方正黑体_GBK" w:cs="Times New Roman"/>
          <w:b w:val="0"/>
          <w:bCs w:val="0"/>
          <w:color w:val="auto"/>
          <w:spacing w:val="-20"/>
          <w:kern w:val="2"/>
          <w:sz w:val="32"/>
          <w:szCs w:val="32"/>
          <w:lang w:val="en-US" w:eastAsia="zh-CN" w:bidi="ar-SA"/>
        </w:rPr>
      </w:pPr>
      <w:r>
        <w:rPr>
          <w:rFonts w:hint="default" w:ascii="Times New Roman" w:hAnsi="Times New Roman" w:eastAsia="方正黑体_GBK" w:cs="Times New Roman"/>
          <w:b w:val="0"/>
          <w:bCs w:val="0"/>
          <w:color w:val="auto"/>
          <w:spacing w:val="-20"/>
          <w:kern w:val="2"/>
          <w:sz w:val="32"/>
          <w:szCs w:val="32"/>
          <w:lang w:val="en-US" w:eastAsia="zh-CN" w:bidi="ar-SA"/>
        </w:rPr>
        <w:t>附件1</w:t>
      </w:r>
    </w:p>
    <w:p w14:paraId="63A9F22B">
      <w:pPr>
        <w:keepNext w:val="0"/>
        <w:keepLines w:val="0"/>
        <w:pageBreakBefore w:val="0"/>
        <w:widowControl w:val="0"/>
        <w:numPr>
          <w:ilvl w:val="0"/>
          <w:numId w:val="0"/>
        </w:numPr>
        <w:suppressAutoHyphens/>
        <w:kinsoku/>
        <w:wordWrap/>
        <w:overflowPunct/>
        <w:topLinePunct w:val="0"/>
        <w:autoSpaceDE/>
        <w:autoSpaceDN/>
        <w:bidi w:val="0"/>
        <w:adjustRightInd/>
        <w:snapToGrid/>
        <w:spacing w:after="161" w:afterLines="50"/>
        <w:jc w:val="center"/>
        <w:textAlignment w:val="auto"/>
        <w:rPr>
          <w:rFonts w:hint="default" w:ascii="Times New Roman" w:hAnsi="Times New Roman" w:eastAsia="方正小标宋_GBK" w:cs="Times New Roman"/>
          <w:b w:val="0"/>
          <w:bCs w:val="0"/>
          <w:snapToGrid w:val="0"/>
          <w:color w:val="auto"/>
          <w:spacing w:val="0"/>
          <w:kern w:val="0"/>
          <w:sz w:val="44"/>
          <w:szCs w:val="44"/>
          <w:lang w:val="en-US" w:eastAsia="zh-CN" w:bidi="ar-SA"/>
        </w:rPr>
      </w:pPr>
      <w:r>
        <w:rPr>
          <w:rFonts w:hint="default" w:ascii="Times New Roman" w:hAnsi="Times New Roman" w:eastAsia="方正小标宋_GBK" w:cs="Times New Roman"/>
          <w:b w:val="0"/>
          <w:bCs w:val="0"/>
          <w:snapToGrid w:val="0"/>
          <w:color w:val="auto"/>
          <w:spacing w:val="0"/>
          <w:kern w:val="0"/>
          <w:sz w:val="44"/>
          <w:szCs w:val="44"/>
          <w:lang w:val="en-US" w:eastAsia="zh-CN" w:bidi="ar-SA"/>
        </w:rPr>
        <w:t>第二批顶尖孵化器建设榜单</w:t>
      </w:r>
    </w:p>
    <w:tbl>
      <w:tblPr>
        <w:tblStyle w:val="5"/>
        <w:tblW w:w="13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237"/>
        <w:gridCol w:w="1225"/>
        <w:gridCol w:w="10387"/>
      </w:tblGrid>
      <w:tr w14:paraId="1B208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850" w:type="dxa"/>
            <w:noWrap w:val="0"/>
            <w:vAlign w:val="center"/>
          </w:tcPr>
          <w:p w14:paraId="3AC736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序号</w:t>
            </w:r>
          </w:p>
        </w:tc>
        <w:tc>
          <w:tcPr>
            <w:tcW w:w="1237" w:type="dxa"/>
            <w:noWrap w:val="0"/>
            <w:vAlign w:val="center"/>
          </w:tcPr>
          <w:p w14:paraId="27CA4C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产业领域</w:t>
            </w:r>
          </w:p>
        </w:tc>
        <w:tc>
          <w:tcPr>
            <w:tcW w:w="1225" w:type="dxa"/>
            <w:noWrap w:val="0"/>
            <w:vAlign w:val="center"/>
          </w:tcPr>
          <w:p w14:paraId="556449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榜单名称</w:t>
            </w:r>
          </w:p>
        </w:tc>
        <w:tc>
          <w:tcPr>
            <w:tcW w:w="10387" w:type="dxa"/>
            <w:noWrap w:val="0"/>
            <w:vAlign w:val="center"/>
          </w:tcPr>
          <w:p w14:paraId="41465E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榜单内容</w:t>
            </w:r>
          </w:p>
        </w:tc>
      </w:tr>
      <w:tr w14:paraId="07ED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atLeast"/>
          <w:jc w:val="center"/>
        </w:trPr>
        <w:tc>
          <w:tcPr>
            <w:tcW w:w="850" w:type="dxa"/>
            <w:noWrap w:val="0"/>
            <w:vAlign w:val="center"/>
          </w:tcPr>
          <w:p w14:paraId="298E32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237" w:type="dxa"/>
            <w:noWrap w:val="0"/>
            <w:vAlign w:val="center"/>
          </w:tcPr>
          <w:p w14:paraId="583A8E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量子科技</w:t>
            </w:r>
          </w:p>
        </w:tc>
        <w:tc>
          <w:tcPr>
            <w:tcW w:w="1225" w:type="dxa"/>
            <w:noWrap w:val="0"/>
            <w:vAlign w:val="center"/>
          </w:tcPr>
          <w:p w14:paraId="36AF4A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量子科技顶尖孵化器</w:t>
            </w:r>
          </w:p>
        </w:tc>
        <w:tc>
          <w:tcPr>
            <w:tcW w:w="10387" w:type="dxa"/>
            <w:noWrap w:val="0"/>
            <w:vAlign w:val="center"/>
          </w:tcPr>
          <w:p w14:paraId="3120A39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聚焦量子计算、量子通信、量子精密测量等领域，通过引入省内外优秀团队、与高校院所、头部企业合作，超前发现、精准挖掘、超前孵化前沿科技成果。建成检验检测、小试中试、概念验证等公共技术服务平台，为孵化企业提供关键共性技术服务。设立风险容忍度不低于50%的硬科技投资基金，面向在孵企业提供早期投资，基金投资入孵企业占比不低于10%，或获得投融资的在孵企业占比不低于20%。链接产业链链主、政府采购场景、省外创新网络、国内外创投、高层次人才政策资源，提供全周期深度孵化服务。具备有行业影响力的孵化领军人物及高水平孵化团队，专职孵化人员占比不低于80%。建设中后期，孵化器每年服务、投资等收入占比应不低于50%，建设期满，每家顶尖孵化器新孵化量子科技相关领域科技型企业不少于50家，导入省外优秀科技团队不少于10个。</w:t>
            </w:r>
          </w:p>
        </w:tc>
      </w:tr>
      <w:tr w14:paraId="112C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4" w:hRule="atLeast"/>
          <w:jc w:val="center"/>
        </w:trPr>
        <w:tc>
          <w:tcPr>
            <w:tcW w:w="850" w:type="dxa"/>
            <w:noWrap w:val="0"/>
            <w:vAlign w:val="center"/>
          </w:tcPr>
          <w:p w14:paraId="4772ED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237" w:type="dxa"/>
            <w:noWrap w:val="0"/>
            <w:vAlign w:val="center"/>
          </w:tcPr>
          <w:p w14:paraId="06410F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智能网联新能源汽车</w:t>
            </w:r>
          </w:p>
        </w:tc>
        <w:tc>
          <w:tcPr>
            <w:tcW w:w="1225" w:type="dxa"/>
            <w:noWrap w:val="0"/>
            <w:vAlign w:val="center"/>
          </w:tcPr>
          <w:p w14:paraId="7E93FA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智能网联新能源汽车顶尖孵化器</w:t>
            </w:r>
          </w:p>
        </w:tc>
        <w:tc>
          <w:tcPr>
            <w:tcW w:w="10387" w:type="dxa"/>
            <w:noWrap w:val="0"/>
            <w:vAlign w:val="center"/>
          </w:tcPr>
          <w:p w14:paraId="768AB1A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聚焦新能源电池、智能整车设计、智能驾驶、车联网等领域，通过引入省内外优秀团队、与高校院所、头部企业合作，超前发现、精准挖掘、超前孵化前沿科技成果。建成检验检测、小试中试、概念验证等公共技术服务平台，为孵化企业提供关键共性技术服务。设立风险容忍度不低于50%的硬科技投资基金，面向在孵企业提供早期投资，基金投资入孵企业占比不低于10%，或获得投融资的在孵企业占比不低于20%。链接产业链链主、政府采购场景、省外创新网络、国内外创投、高层次人才政策资源，提供全周期深度孵化服务。具备有行业影响力的孵化领军人物及高水平孵化团队，专职孵化人员占比不低于80%。建设中后期，孵化器每年服务、投资等收入占比应不低于50%，建设期满，每家顶尖孵化器新孵化智能网联新能源汽车相关领域科技型企业不少于50家，导入省外优秀科技团队不少于10个。</w:t>
            </w:r>
          </w:p>
        </w:tc>
      </w:tr>
      <w:tr w14:paraId="2B9E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jc w:val="center"/>
        </w:trPr>
        <w:tc>
          <w:tcPr>
            <w:tcW w:w="850" w:type="dxa"/>
            <w:noWrap w:val="0"/>
            <w:vAlign w:val="center"/>
          </w:tcPr>
          <w:p w14:paraId="39D362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237" w:type="dxa"/>
            <w:noWrap w:val="0"/>
            <w:vAlign w:val="center"/>
          </w:tcPr>
          <w:p w14:paraId="61753B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氢能和核聚变能</w:t>
            </w:r>
          </w:p>
        </w:tc>
        <w:tc>
          <w:tcPr>
            <w:tcW w:w="1225" w:type="dxa"/>
            <w:noWrap w:val="0"/>
            <w:vAlign w:val="center"/>
          </w:tcPr>
          <w:p w14:paraId="78D24D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氢能和核聚变能顶尖孵化器</w:t>
            </w:r>
          </w:p>
        </w:tc>
        <w:tc>
          <w:tcPr>
            <w:tcW w:w="10387" w:type="dxa"/>
            <w:noWrap w:val="0"/>
            <w:vAlign w:val="center"/>
          </w:tcPr>
          <w:p w14:paraId="6E2F4CF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聚焦氢能制储运加用、核聚变能及其衍生技术领域，通过引入省内外优秀团队、与高校院所、头部企业合作，超前发现、精准挖掘、超前孵化前沿科技成果。建成检验检测、小试中试、概念验证等公共技术服务平台，为孵化企业提供关键共性技术服务。设立风险容忍度不低于50%的硬科技投资基金，面向在孵企业提供早期投资，基金投资入孵企业占比不低于10%，或获得投融资的在孵企业占比不低于20%。链接产业链链主、政府采购场景、省外创新网络、国内外创投、高层次人才政策资源，提供全周期深度孵化服务。具备有行业影响力的孵化领军人物及高水平孵化团队，专职孵化人员占比不低于80%。建设中后期，孵化器每年服务、投资等收入占比应不低于50%，建设期满，每家顶尖孵化器新孵化氢能和核聚变能相关领域科技型企业不少于50家，导入省外优秀科技团队不少于10个。</w:t>
            </w:r>
          </w:p>
        </w:tc>
      </w:tr>
      <w:tr w14:paraId="1586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jc w:val="center"/>
        </w:trPr>
        <w:tc>
          <w:tcPr>
            <w:tcW w:w="850" w:type="dxa"/>
            <w:noWrap w:val="0"/>
            <w:vAlign w:val="center"/>
          </w:tcPr>
          <w:p w14:paraId="75625F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237" w:type="dxa"/>
            <w:noWrap w:val="0"/>
            <w:vAlign w:val="center"/>
          </w:tcPr>
          <w:p w14:paraId="4B8B0E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人工智能</w:t>
            </w:r>
          </w:p>
        </w:tc>
        <w:tc>
          <w:tcPr>
            <w:tcW w:w="1225" w:type="dxa"/>
            <w:noWrap w:val="0"/>
            <w:vAlign w:val="center"/>
          </w:tcPr>
          <w:p w14:paraId="0C06F0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人工智能顶尖孵化器</w:t>
            </w:r>
          </w:p>
        </w:tc>
        <w:tc>
          <w:tcPr>
            <w:tcW w:w="10387" w:type="dxa"/>
            <w:noWrap w:val="0"/>
            <w:vAlign w:val="center"/>
          </w:tcPr>
          <w:p w14:paraId="085927A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聚焦人工智能算力、数据、模型、传感器及行业应用等软硬件基础支撑，通过引入省内外优秀团队、与高校院所、头部企业合作，超前发现、精准挖掘、超前孵化前沿科技成果。建成检验检测、小试中试、概念验证等公共技术服务平台，为孵化企业提供关键共性技术服务。设立风险容忍度不低于50%的硬科技投资基金，面向在孵企业提供早期投资，基金投资入孵企业占比不低于10%，或获得投融资的在孵企业占比不低于20%。链接产业链链主、政府采购场景、省外创新网络、国内外创投、高层次人才政策资源，提供全周期深度孵化服务。具备有行业影响力的孵化领军人物及高水平孵化团队，专职孵化人员占比不低于80%。建设中后期，孵化器每年服务、投资等收入占比应不低于50%，建设期满，每家顶尖孵化器新孵化人工智能相关领域科技型企业不少于50家，导入省外优秀科技团队不少于10个。</w:t>
            </w:r>
          </w:p>
        </w:tc>
      </w:tr>
      <w:tr w14:paraId="31C2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jc w:val="center"/>
        </w:trPr>
        <w:tc>
          <w:tcPr>
            <w:tcW w:w="850" w:type="dxa"/>
            <w:noWrap w:val="0"/>
            <w:vAlign w:val="center"/>
          </w:tcPr>
          <w:p w14:paraId="16133C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237" w:type="dxa"/>
            <w:noWrap w:val="0"/>
            <w:vAlign w:val="center"/>
          </w:tcPr>
          <w:p w14:paraId="40CF79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生命科学</w:t>
            </w:r>
          </w:p>
        </w:tc>
        <w:tc>
          <w:tcPr>
            <w:tcW w:w="1225" w:type="dxa"/>
            <w:noWrap w:val="0"/>
            <w:vAlign w:val="center"/>
          </w:tcPr>
          <w:p w14:paraId="1D1053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生命科学顶尖孵化器</w:t>
            </w:r>
          </w:p>
        </w:tc>
        <w:tc>
          <w:tcPr>
            <w:tcW w:w="10387" w:type="dxa"/>
            <w:noWrap w:val="0"/>
            <w:vAlign w:val="center"/>
          </w:tcPr>
          <w:p w14:paraId="43E83DA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聚焦生命健康、生物医药、高端医疗器械、脑科学等重点领域，通过引入省内外优秀团队、与高校院所、头部企业合作，超前发现、精准挖掘、超前孵化前沿科技成果。建成检验检测、小试中试、CRO/CDMO、概念验证等公共技术服务平台，为孵化企业提供关键共性技术服务。设立风险容忍度不低于50%的硬科技投资基金，面向在孵企业提供早期投资，基金投资入孵企业占比不低于10%，或获得投融资的在孵企业占比不低于20%。链接产业链链主、政府采购场景、省外创新网络、国内外创投、高层次人才政策资源，提供全周期深度孵化服务。具备有行业影响力的孵化领军人物及高水平孵化团队，专职孵化人员占比不低于80%。建设中后期，孵化器每年服务、投资等收入占比应不低于50%，建设期满，每家顶尖孵化器新孵化生命科学相关领域科技型企业不少于50家，导入省外优秀科技团队不少于10个。</w:t>
            </w:r>
          </w:p>
        </w:tc>
      </w:tr>
      <w:tr w14:paraId="26BA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atLeast"/>
          <w:jc w:val="center"/>
        </w:trPr>
        <w:tc>
          <w:tcPr>
            <w:tcW w:w="850" w:type="dxa"/>
            <w:noWrap w:val="0"/>
            <w:vAlign w:val="center"/>
          </w:tcPr>
          <w:p w14:paraId="5E8B0A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237" w:type="dxa"/>
            <w:noWrap w:val="0"/>
            <w:vAlign w:val="center"/>
          </w:tcPr>
          <w:p w14:paraId="2F66E6D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低空经济和商业航天</w:t>
            </w:r>
          </w:p>
        </w:tc>
        <w:tc>
          <w:tcPr>
            <w:tcW w:w="1225" w:type="dxa"/>
            <w:noWrap w:val="0"/>
            <w:vAlign w:val="center"/>
          </w:tcPr>
          <w:p w14:paraId="25CB56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低空经济和商业航天顶尖孵化器</w:t>
            </w:r>
          </w:p>
        </w:tc>
        <w:tc>
          <w:tcPr>
            <w:tcW w:w="10387" w:type="dxa"/>
            <w:noWrap w:val="0"/>
            <w:vAlign w:val="center"/>
          </w:tcPr>
          <w:p w14:paraId="4284F50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聚焦深空探测、低空飞行、商业航天、卫星应用等产业领域，通过引入省内外优秀团队、与高校院所、头部企业合作，超前发现、精准挖掘、超前孵化前沿科技成果。建成检验检测、小试中试、概念验证等公共技术服务平台，为孵化企业提供关键共性技术服务。设立风险容忍度不低于50%的硬科技投资基金，面向在孵企业提供早期投资，基金投资入孵企业占比不低于10%，或获得投融资的在孵企业占比不低于20%。链接产业链链主、政府采购场景、省外创新网络、国内外创投、高层次人才政策资源，提供全周期深度孵化服务。具备有行业影响力的孵化领军人物及高水平孵化团队，专职孵化人员占比不低于80%。建设中后期，孵化器每年服务、投资等收入占比应不低于50%，建设期满，每家顶尖孵化器新孵化低空经济和商业航天相关领域科技型企业不少于50家，导入省外优秀科技团队不少于10个。</w:t>
            </w:r>
          </w:p>
        </w:tc>
      </w:tr>
      <w:tr w14:paraId="75B6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50" w:type="dxa"/>
            <w:noWrap w:val="0"/>
            <w:vAlign w:val="center"/>
          </w:tcPr>
          <w:p w14:paraId="65DB63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237" w:type="dxa"/>
            <w:noWrap w:val="0"/>
            <w:vAlign w:val="center"/>
          </w:tcPr>
          <w:p w14:paraId="69C3F7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高端装备制造（机器人）</w:t>
            </w:r>
          </w:p>
        </w:tc>
        <w:tc>
          <w:tcPr>
            <w:tcW w:w="1225" w:type="dxa"/>
            <w:noWrap w:val="0"/>
            <w:vAlign w:val="center"/>
          </w:tcPr>
          <w:p w14:paraId="5C7B67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高端装备制造（机器人）顶尖孵化器</w:t>
            </w:r>
          </w:p>
        </w:tc>
        <w:tc>
          <w:tcPr>
            <w:tcW w:w="10387" w:type="dxa"/>
            <w:noWrap w:val="0"/>
            <w:vAlign w:val="center"/>
          </w:tcPr>
          <w:p w14:paraId="20FB3FB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聚焦智能机器人、高档数控机床、航空航天装备、现代工程机械等领域，通过引入省内外优秀团队、与高校院所、头部企业合作，超前发现、精准挖掘、超前孵化前沿科技成果。建成检验检测、小试中试、概念验证等公共技术服务平台，为孵化企业提供关键共性技术服务。设立风险容忍度不低于50%的硬科技投资基金，面向在孵企业提供早期投资，基金投资入孵企业占比不低于10%，或获得投融资的在孵企业占比不低于20%。链接产业链链主、政府采购场景、省外创新网络、国内外创投、高层次人才政策资源，提供全周期深度孵化服务。具备有行业影响力的孵化领军人物及高水平孵化团队，专职孵化人员占比不低于80%。建设中后期，孵化器每年服务、投资等收入占比应不低于50%，建设期满，每家顶尖孵化器新孵化高端装备制造（机器人）相关领域科技型企业不少于50家，导入省外优秀科技团队不少于10个。</w:t>
            </w:r>
          </w:p>
        </w:tc>
      </w:tr>
    </w:tbl>
    <w:p w14:paraId="6D4D7481">
      <w:bookmarkStart w:id="0" w:name="_GoBack"/>
      <w:bookmarkEnd w:id="0"/>
    </w:p>
    <w:sectPr>
      <w:pgSz w:w="16838" w:h="11906" w:orient="landscape"/>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536183"/>
    <w:rsid w:val="3A536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next w:val="1"/>
    <w:qFormat/>
    <w:uiPriority w:val="0"/>
    <w:pPr>
      <w:widowControl w:val="0"/>
      <w:spacing w:before="0" w:after="140" w:line="276" w:lineRule="auto"/>
      <w:jc w:val="both"/>
    </w:pPr>
    <w:rPr>
      <w:rFonts w:ascii="Calibri" w:hAnsi="Calibri" w:eastAsia="宋体" w:cs="Times New Roman"/>
      <w:kern w:val="2"/>
      <w:sz w:val="21"/>
      <w:szCs w:val="24"/>
      <w:lang w:val="en-US" w:eastAsia="zh-CN" w:bidi="ar-SA"/>
    </w:rPr>
  </w:style>
  <w:style w:type="paragraph" w:styleId="3">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4">
    <w:name w:val="header"/>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2026-06-18T09:11:00Z</dcterms:created>
  <dc:creator>何玉清</dc:creator>
  <cp:lastModifiedBy>何玉清</cp:lastModifiedBy>
  <dcterms:modified xsi:type="dcterms:W3CDTF">2026-06-18T09:11:36Z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9FDCD7E1D77D42C6BB060122D705AA55_11</vt:lpwstr>
  </property>
  <property fmtid="{D5CDD505-2E9C-101B-9397-08002B2CF9AE}" pid="4" name="KSOTemplateDocerSaveRecord">
    <vt:lpwstr>eyJoZGlkIjoiMDU2ZjVjOWIzZjVjZWI0MjIwZGZlODk2MmFmNTIzZTQiLCJ1c2VySWQiOiI1NzEwNzY0NDEifQ==</vt:lpwstr>
  </property>
</Properties>
</file>