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市知识产权优势企业认定标准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具有明确的知识产权发展战略以及健全的知识产权管理体制、激励机制、培训机制；设立企业知识产权管理机构，配备专职管理人员1人以上；设立知识产权专项经费，企业知识产权专项经费占企业研发投入的5%以上；企业管理人员和研发人员的知识产权培训率达到80%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2.企业专利申请与授权量在全市同行业中居领先地位；拥有自主核心技术发明专利2件以上，且当年发明专利申请6件以上；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3.企业自主核心专利技术转化率80%以上；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4.企业上一年度主营业务收入超过1000万元，且申报年度前三年保持盈利；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5.无知识产权纠纷；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6.企业已开展知识产权质押融资、知识产权贯标、知识产权分析评议及获得省级以上知识产权工作奖励的，在同等条件下优先考虑。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隶书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2020-07-01T02:10:29Z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