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DE" w:rsidRDefault="00E351DE">
      <w:pPr>
        <w:adjustRightInd w:val="0"/>
        <w:snapToGrid w:val="0"/>
        <w:spacing w:line="640" w:lineRule="exact"/>
        <w:ind w:right="-62"/>
        <w:jc w:val="center"/>
        <w:rPr>
          <w:rFonts w:ascii="方正小标宋_GBK" w:eastAsia="方正小标宋_GBK" w:hAnsi="Times New Roman"/>
          <w:snapToGrid w:val="0"/>
          <w:kern w:val="0"/>
          <w:sz w:val="44"/>
          <w:szCs w:val="44"/>
        </w:rPr>
      </w:pPr>
      <w:r>
        <w:rPr>
          <w:rFonts w:ascii="方正小标宋_GBK" w:eastAsia="方正小标宋_GBK" w:hAnsi="Times New Roman" w:hint="eastAsia"/>
          <w:snapToGrid w:val="0"/>
          <w:kern w:val="0"/>
          <w:sz w:val="44"/>
          <w:szCs w:val="44"/>
        </w:rPr>
        <w:t>安徽省科技成果转化引导基金投资管理暂行办法</w:t>
      </w:r>
    </w:p>
    <w:p w:rsidR="00E351DE" w:rsidRDefault="00E351DE" w:rsidP="003C4E85">
      <w:pPr>
        <w:adjustRightInd w:val="0"/>
        <w:snapToGrid w:val="0"/>
        <w:spacing w:line="640" w:lineRule="exact"/>
        <w:rPr>
          <w:rFonts w:ascii="Times New Roman" w:eastAsia="方正仿宋_GBK" w:hAnsi="Times New Roman"/>
          <w:b/>
          <w:bCs/>
          <w:snapToGrid w:val="0"/>
          <w:kern w:val="0"/>
          <w:sz w:val="36"/>
          <w:szCs w:val="36"/>
        </w:rPr>
      </w:pPr>
    </w:p>
    <w:p w:rsidR="00E351DE" w:rsidRDefault="00E351DE" w:rsidP="003C4E85">
      <w:pPr>
        <w:adjustRightInd w:val="0"/>
        <w:snapToGrid w:val="0"/>
        <w:spacing w:line="640" w:lineRule="exact"/>
        <w:jc w:val="center"/>
        <w:rPr>
          <w:rFonts w:ascii="黑体" w:eastAsia="黑体" w:hAnsi="黑体"/>
          <w:snapToGrid w:val="0"/>
          <w:kern w:val="0"/>
          <w:sz w:val="32"/>
          <w:szCs w:val="32"/>
        </w:rPr>
      </w:pPr>
      <w:r>
        <w:rPr>
          <w:rFonts w:ascii="黑体" w:eastAsia="黑体" w:hAnsi="黑体" w:hint="eastAsia"/>
          <w:snapToGrid w:val="0"/>
          <w:kern w:val="0"/>
          <w:sz w:val="32"/>
          <w:szCs w:val="32"/>
        </w:rPr>
        <w:t>第一章</w:t>
      </w:r>
      <w:r>
        <w:rPr>
          <w:rFonts w:ascii="黑体" w:eastAsia="黑体" w:hAnsi="黑体"/>
          <w:snapToGrid w:val="0"/>
          <w:kern w:val="0"/>
          <w:sz w:val="32"/>
          <w:szCs w:val="32"/>
        </w:rPr>
        <w:t xml:space="preserve">  </w:t>
      </w:r>
      <w:r>
        <w:rPr>
          <w:rFonts w:ascii="黑体" w:eastAsia="黑体" w:hAnsi="黑体" w:hint="eastAsia"/>
          <w:snapToGrid w:val="0"/>
          <w:kern w:val="0"/>
          <w:sz w:val="32"/>
          <w:szCs w:val="32"/>
        </w:rPr>
        <w:t>总则</w:t>
      </w:r>
    </w:p>
    <w:p w:rsidR="00E351DE" w:rsidRDefault="00E351DE" w:rsidP="003C4E85">
      <w:pPr>
        <w:snapToGrid w:val="0"/>
        <w:spacing w:line="640" w:lineRule="exact"/>
        <w:ind w:right="-62"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第一条</w:t>
      </w:r>
      <w:r>
        <w:rPr>
          <w:rFonts w:ascii="黑体" w:eastAsia="黑体" w:hAnsi="黑体" w:cs="黑体"/>
          <w:snapToGrid w:val="0"/>
          <w:kern w:val="0"/>
          <w:sz w:val="32"/>
          <w:szCs w:val="32"/>
        </w:rPr>
        <w:t xml:space="preserve"> </w:t>
      </w:r>
      <w:r>
        <w:rPr>
          <w:rFonts w:ascii="仿宋_GB2312" w:eastAsia="仿宋_GB2312" w:hAnsi="仿宋" w:cs="仿宋"/>
          <w:snapToGrid w:val="0"/>
          <w:kern w:val="0"/>
          <w:sz w:val="32"/>
          <w:szCs w:val="32"/>
        </w:rPr>
        <w:t xml:space="preserve"> </w:t>
      </w:r>
      <w:r>
        <w:rPr>
          <w:rFonts w:ascii="仿宋_GB2312" w:eastAsia="仿宋_GB2312" w:hAnsi="仿宋" w:cs="仿宋" w:hint="eastAsia"/>
          <w:snapToGrid w:val="0"/>
          <w:kern w:val="0"/>
          <w:sz w:val="32"/>
          <w:szCs w:val="32"/>
        </w:rPr>
        <w:t>根据《政府投资基金暂行管理办法》（财预〔</w:t>
      </w:r>
      <w:r>
        <w:rPr>
          <w:rFonts w:ascii="仿宋_GB2312" w:eastAsia="仿宋_GB2312" w:hAnsi="仿宋" w:cs="仿宋"/>
          <w:snapToGrid w:val="0"/>
          <w:kern w:val="0"/>
          <w:sz w:val="32"/>
          <w:szCs w:val="32"/>
        </w:rPr>
        <w:t>2015</w:t>
      </w:r>
      <w:r>
        <w:rPr>
          <w:rFonts w:ascii="仿宋_GB2312" w:eastAsia="仿宋_GB2312" w:hAnsi="仿宋" w:cs="仿宋" w:hint="eastAsia"/>
          <w:snapToGrid w:val="0"/>
          <w:kern w:val="0"/>
          <w:sz w:val="32"/>
          <w:szCs w:val="32"/>
        </w:rPr>
        <w:t>〕</w:t>
      </w:r>
      <w:r>
        <w:rPr>
          <w:rFonts w:ascii="仿宋_GB2312" w:eastAsia="仿宋_GB2312" w:hAnsi="仿宋" w:cs="仿宋"/>
          <w:snapToGrid w:val="0"/>
          <w:kern w:val="0"/>
          <w:sz w:val="32"/>
          <w:szCs w:val="32"/>
        </w:rPr>
        <w:t>210</w:t>
      </w:r>
      <w:r>
        <w:rPr>
          <w:rFonts w:ascii="仿宋_GB2312" w:eastAsia="仿宋_GB2312" w:hAnsi="仿宋" w:cs="仿宋" w:hint="eastAsia"/>
          <w:snapToGrid w:val="0"/>
          <w:kern w:val="0"/>
          <w:sz w:val="32"/>
          <w:szCs w:val="32"/>
        </w:rPr>
        <w:t>号）等规定，按照《安徽省科技成果转化引导基金组建方案》（</w:t>
      </w:r>
      <w:bookmarkStart w:id="0" w:name="strDocNo"/>
      <w:r>
        <w:rPr>
          <w:rFonts w:ascii="仿宋_GB2312" w:eastAsia="仿宋_GB2312" w:hAnsi="仿宋" w:cs="仿宋" w:hint="eastAsia"/>
          <w:snapToGrid w:val="0"/>
          <w:kern w:val="0"/>
          <w:sz w:val="32"/>
          <w:szCs w:val="32"/>
        </w:rPr>
        <w:t>皖政办复〔</w:t>
      </w:r>
      <w:r>
        <w:rPr>
          <w:rFonts w:ascii="仿宋_GB2312" w:eastAsia="仿宋_GB2312" w:hAnsi="仿宋" w:cs="仿宋"/>
          <w:snapToGrid w:val="0"/>
          <w:kern w:val="0"/>
          <w:sz w:val="32"/>
          <w:szCs w:val="32"/>
        </w:rPr>
        <w:t>2018</w:t>
      </w:r>
      <w:r>
        <w:rPr>
          <w:rFonts w:ascii="仿宋_GB2312" w:eastAsia="仿宋_GB2312" w:hAnsi="仿宋" w:cs="仿宋" w:hint="eastAsia"/>
          <w:snapToGrid w:val="0"/>
          <w:kern w:val="0"/>
          <w:sz w:val="32"/>
          <w:szCs w:val="32"/>
        </w:rPr>
        <w:t>〕</w:t>
      </w:r>
      <w:r>
        <w:rPr>
          <w:rFonts w:ascii="仿宋_GB2312" w:eastAsia="仿宋_GB2312" w:hAnsi="仿宋" w:cs="仿宋"/>
          <w:snapToGrid w:val="0"/>
          <w:kern w:val="0"/>
          <w:sz w:val="32"/>
          <w:szCs w:val="32"/>
        </w:rPr>
        <w:t>341</w:t>
      </w:r>
      <w:r>
        <w:rPr>
          <w:rFonts w:ascii="仿宋_GB2312" w:eastAsia="仿宋_GB2312" w:hAnsi="仿宋" w:cs="仿宋" w:hint="eastAsia"/>
          <w:snapToGrid w:val="0"/>
          <w:kern w:val="0"/>
          <w:sz w:val="32"/>
          <w:szCs w:val="32"/>
        </w:rPr>
        <w:t>号</w:t>
      </w:r>
      <w:bookmarkEnd w:id="0"/>
      <w:r>
        <w:rPr>
          <w:rFonts w:ascii="仿宋_GB2312" w:eastAsia="仿宋_GB2312" w:hAnsi="仿宋" w:cs="仿宋" w:hint="eastAsia"/>
          <w:snapToGrid w:val="0"/>
          <w:kern w:val="0"/>
          <w:sz w:val="32"/>
          <w:szCs w:val="32"/>
        </w:rPr>
        <w:t>）要求，为规范安徽省科技成果转化引导基金（以下简称“省引导基金”）投资管理，制定本办法。</w:t>
      </w:r>
    </w:p>
    <w:p w:rsidR="00E351DE" w:rsidRDefault="00E351DE" w:rsidP="003C4E85">
      <w:pPr>
        <w:snapToGrid w:val="0"/>
        <w:spacing w:line="640" w:lineRule="exact"/>
        <w:ind w:right="-62" w:firstLineChars="200" w:firstLine="643"/>
        <w:rPr>
          <w:rFonts w:ascii="黑体" w:eastAsia="黑体" w:hAnsi="黑体"/>
          <w:snapToGrid w:val="0"/>
          <w:kern w:val="0"/>
          <w:sz w:val="32"/>
          <w:szCs w:val="32"/>
        </w:rPr>
      </w:pPr>
      <w:r>
        <w:rPr>
          <w:rFonts w:ascii="楷体" w:eastAsia="楷体" w:hAnsi="楷体" w:cs="仿宋" w:hint="eastAsia"/>
          <w:b/>
          <w:snapToGrid w:val="0"/>
          <w:kern w:val="0"/>
          <w:sz w:val="32"/>
          <w:szCs w:val="32"/>
        </w:rPr>
        <w:t>第二条</w:t>
      </w:r>
      <w:r>
        <w:rPr>
          <w:rFonts w:ascii="仿宋_GB2312" w:eastAsia="仿宋_GB2312" w:hAnsi="仿宋" w:cs="仿宋"/>
          <w:snapToGrid w:val="0"/>
          <w:kern w:val="0"/>
          <w:sz w:val="32"/>
          <w:szCs w:val="32"/>
        </w:rPr>
        <w:t xml:space="preserve">  </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按照“政府引导，社会参与，重点培育、多级联动，市场运作、专业管理，放管结合、强化监督”的原则，通过设立科技成果转化投资子基金（以下简称“子基金”）和直接股权投资方式投资国内外在皖转化的各类先进科技成果。</w:t>
      </w:r>
    </w:p>
    <w:p w:rsidR="00E351DE" w:rsidRDefault="00E351DE" w:rsidP="003C4E85">
      <w:pPr>
        <w:adjustRightInd w:val="0"/>
        <w:snapToGrid w:val="0"/>
        <w:spacing w:line="640" w:lineRule="exact"/>
        <w:jc w:val="center"/>
        <w:rPr>
          <w:rFonts w:ascii="黑体" w:eastAsia="黑体" w:hAnsi="黑体"/>
          <w:snapToGrid w:val="0"/>
          <w:kern w:val="0"/>
          <w:sz w:val="32"/>
          <w:szCs w:val="32"/>
        </w:rPr>
      </w:pPr>
      <w:r>
        <w:rPr>
          <w:rFonts w:ascii="黑体" w:eastAsia="黑体" w:hAnsi="黑体" w:hint="eastAsia"/>
          <w:snapToGrid w:val="0"/>
          <w:kern w:val="0"/>
          <w:sz w:val="32"/>
          <w:szCs w:val="32"/>
        </w:rPr>
        <w:t>第二章</w:t>
      </w:r>
      <w:r>
        <w:rPr>
          <w:rFonts w:ascii="黑体" w:eastAsia="黑体" w:hAnsi="黑体"/>
          <w:snapToGrid w:val="0"/>
          <w:kern w:val="0"/>
          <w:sz w:val="32"/>
          <w:szCs w:val="32"/>
        </w:rPr>
        <w:t xml:space="preserve">  </w:t>
      </w:r>
      <w:r>
        <w:rPr>
          <w:rFonts w:ascii="黑体" w:eastAsia="黑体" w:hAnsi="黑体" w:hint="eastAsia"/>
          <w:snapToGrid w:val="0"/>
          <w:kern w:val="0"/>
          <w:sz w:val="32"/>
          <w:szCs w:val="32"/>
        </w:rPr>
        <w:t>职责分工</w:t>
      </w:r>
    </w:p>
    <w:p w:rsidR="00E351DE" w:rsidRDefault="00E351DE" w:rsidP="003C4E85">
      <w:pPr>
        <w:snapToGrid w:val="0"/>
        <w:spacing w:line="640" w:lineRule="exact"/>
        <w:ind w:right="-62" w:firstLineChars="200" w:firstLine="643"/>
        <w:jc w:val="left"/>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第三条</w:t>
      </w:r>
      <w:r>
        <w:rPr>
          <w:rFonts w:ascii="仿宋_GB2312" w:eastAsia="仿宋_GB2312" w:hAnsi="仿宋" w:cs="仿宋"/>
          <w:snapToGrid w:val="0"/>
          <w:kern w:val="0"/>
          <w:sz w:val="32"/>
          <w:szCs w:val="32"/>
        </w:rPr>
        <w:t xml:space="preserve">  </w:t>
      </w:r>
      <w:r>
        <w:rPr>
          <w:rFonts w:ascii="仿宋_GB2312" w:eastAsia="仿宋_GB2312" w:hAnsi="仿宋" w:cs="仿宋" w:hint="eastAsia"/>
          <w:snapToGrid w:val="0"/>
          <w:kern w:val="0"/>
          <w:sz w:val="32"/>
          <w:szCs w:val="32"/>
        </w:rPr>
        <w:t>根据省政府授权省财政厅代行省引导基金出资人职责。省科技厅、省财政厅对</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基金省级财政出资的所有权、收益权、处置权行使最终决定权。</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第四条</w:t>
      </w:r>
      <w:r>
        <w:rPr>
          <w:rFonts w:ascii="黑体" w:eastAsia="黑体" w:hAnsi="黑体" w:cs="黑体"/>
          <w:snapToGrid w:val="0"/>
          <w:kern w:val="0"/>
          <w:sz w:val="32"/>
          <w:szCs w:val="32"/>
        </w:rPr>
        <w:t xml:space="preserve"> </w:t>
      </w:r>
      <w:r>
        <w:rPr>
          <w:rFonts w:ascii="仿宋_GB2312" w:eastAsia="仿宋_GB2312" w:hAnsi="仿宋" w:cs="仿宋"/>
          <w:snapToGrid w:val="0"/>
          <w:kern w:val="0"/>
          <w:sz w:val="32"/>
          <w:szCs w:val="32"/>
        </w:rPr>
        <w:t xml:space="preserve"> </w:t>
      </w:r>
      <w:r>
        <w:rPr>
          <w:rFonts w:ascii="仿宋_GB2312" w:eastAsia="仿宋_GB2312" w:hAnsi="仿宋" w:cs="仿宋" w:hint="eastAsia"/>
          <w:snapToGrid w:val="0"/>
          <w:kern w:val="0"/>
          <w:sz w:val="32"/>
          <w:szCs w:val="32"/>
        </w:rPr>
        <w:t>省科技厅、省财政厅负责</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基金的管理和协调，</w:t>
      </w:r>
      <w:proofErr w:type="gramStart"/>
      <w:r>
        <w:rPr>
          <w:rFonts w:ascii="仿宋_GB2312" w:eastAsia="仿宋_GB2312" w:hAnsi="仿宋" w:cs="仿宋" w:hint="eastAsia"/>
          <w:snapToGrid w:val="0"/>
          <w:kern w:val="0"/>
          <w:sz w:val="32"/>
          <w:szCs w:val="32"/>
        </w:rPr>
        <w:t>确定省引导</w:t>
      </w:r>
      <w:proofErr w:type="gramEnd"/>
      <w:r>
        <w:rPr>
          <w:rFonts w:ascii="仿宋_GB2312" w:eastAsia="仿宋_GB2312" w:hAnsi="仿宋" w:cs="仿宋" w:hint="eastAsia"/>
          <w:snapToGrid w:val="0"/>
          <w:kern w:val="0"/>
          <w:sz w:val="32"/>
          <w:szCs w:val="32"/>
        </w:rPr>
        <w:t>基金的发展方向和目标；研究</w:t>
      </w:r>
      <w:proofErr w:type="gramStart"/>
      <w:r>
        <w:rPr>
          <w:rFonts w:ascii="仿宋_GB2312" w:eastAsia="仿宋_GB2312" w:hAnsi="仿宋" w:cs="仿宋" w:hint="eastAsia"/>
          <w:snapToGrid w:val="0"/>
          <w:kern w:val="0"/>
          <w:sz w:val="32"/>
          <w:szCs w:val="32"/>
        </w:rPr>
        <w:t>制定省引导</w:t>
      </w:r>
      <w:proofErr w:type="gramEnd"/>
      <w:r>
        <w:rPr>
          <w:rFonts w:ascii="仿宋_GB2312" w:eastAsia="仿宋_GB2312" w:hAnsi="仿宋" w:cs="仿宋" w:hint="eastAsia"/>
          <w:snapToGrid w:val="0"/>
          <w:kern w:val="0"/>
          <w:sz w:val="32"/>
          <w:szCs w:val="32"/>
        </w:rPr>
        <w:t>基金</w:t>
      </w:r>
      <w:r>
        <w:rPr>
          <w:rFonts w:ascii="仿宋_GB2312" w:eastAsia="仿宋_GB2312" w:hAnsi="仿宋" w:cs="仿宋" w:hint="eastAsia"/>
          <w:snapToGrid w:val="0"/>
          <w:kern w:val="0"/>
          <w:sz w:val="32"/>
          <w:szCs w:val="32"/>
        </w:rPr>
        <w:lastRenderedPageBreak/>
        <w:t>相关监管配套制度；组织成立</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基金专家咨询委员会；</w:t>
      </w:r>
      <w:proofErr w:type="gramStart"/>
      <w:r>
        <w:rPr>
          <w:rFonts w:ascii="仿宋_GB2312" w:eastAsia="仿宋_GB2312" w:hAnsi="仿宋" w:cs="仿宋" w:hint="eastAsia"/>
          <w:snapToGrid w:val="0"/>
          <w:kern w:val="0"/>
          <w:sz w:val="32"/>
          <w:szCs w:val="32"/>
        </w:rPr>
        <w:t>审定省引导</w:t>
      </w:r>
      <w:proofErr w:type="gramEnd"/>
      <w:r>
        <w:rPr>
          <w:rFonts w:ascii="仿宋_GB2312" w:eastAsia="仿宋_GB2312" w:hAnsi="仿宋" w:cs="仿宋" w:hint="eastAsia"/>
          <w:snapToGrid w:val="0"/>
          <w:kern w:val="0"/>
          <w:sz w:val="32"/>
          <w:szCs w:val="32"/>
        </w:rPr>
        <w:t>基金年度工作计划、工作报告以及重大事项等；批准</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设立方案；对</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基金运行情况进行监督评价等。</w:t>
      </w:r>
    </w:p>
    <w:p w:rsidR="00E351DE" w:rsidRDefault="00E351DE" w:rsidP="003C4E85">
      <w:pPr>
        <w:snapToGrid w:val="0"/>
        <w:spacing w:line="640" w:lineRule="exact"/>
        <w:ind w:right="-62" w:firstLineChars="200" w:firstLine="643"/>
        <w:jc w:val="left"/>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第五条</w:t>
      </w:r>
      <w:r>
        <w:rPr>
          <w:rFonts w:ascii="黑体" w:eastAsia="黑体" w:hAnsi="黑体" w:cs="黑体"/>
          <w:snapToGrid w:val="0"/>
          <w:kern w:val="0"/>
          <w:sz w:val="32"/>
          <w:szCs w:val="32"/>
        </w:rPr>
        <w:t xml:space="preserve">  </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基金专家咨询委员会（以下简称“专家咨询委员会”）负责对</w:t>
      </w:r>
      <w:proofErr w:type="gramStart"/>
      <w:r>
        <w:rPr>
          <w:rFonts w:ascii="仿宋_GB2312" w:eastAsia="仿宋_GB2312" w:hAnsi="仿宋" w:cs="仿宋" w:hint="eastAsia"/>
          <w:snapToGrid w:val="0"/>
          <w:kern w:val="0"/>
          <w:sz w:val="32"/>
          <w:szCs w:val="32"/>
        </w:rPr>
        <w:t>省引导基金子基金</w:t>
      </w:r>
      <w:proofErr w:type="gramEnd"/>
      <w:r>
        <w:rPr>
          <w:rFonts w:ascii="仿宋_GB2312" w:eastAsia="仿宋_GB2312" w:hAnsi="仿宋" w:cs="仿宋" w:hint="eastAsia"/>
          <w:snapToGrid w:val="0"/>
          <w:kern w:val="0"/>
          <w:sz w:val="32"/>
          <w:szCs w:val="32"/>
        </w:rPr>
        <w:t>设立方案、直接股权投资和重大事项等进行决策咨询，并出具意见。专家咨询委员会委员由省内外知名科技、管理、法律、投资、财务、金融等领域专家担任，每届任期为三年，并根据履职尽责情况进行动态调整。专家咨询委员会下设办公室，办公室设在省科技厅，承</w:t>
      </w:r>
      <w:r w:rsidRPr="003C4E85">
        <w:rPr>
          <w:rFonts w:ascii="仿宋_GB2312" w:eastAsia="仿宋_GB2312" w:hAnsi="仿宋" w:cs="仿宋" w:hint="eastAsia"/>
          <w:snapToGrid w:val="0"/>
          <w:spacing w:val="-10"/>
          <w:kern w:val="0"/>
          <w:sz w:val="32"/>
          <w:szCs w:val="32"/>
        </w:rPr>
        <w:t>担专家咨询委员会日常办事职能，组织召开专家咨询委员会会议。</w:t>
      </w:r>
    </w:p>
    <w:p w:rsidR="00E351DE" w:rsidRDefault="00E351DE" w:rsidP="003C4E85">
      <w:pPr>
        <w:snapToGrid w:val="0"/>
        <w:spacing w:line="640" w:lineRule="exact"/>
        <w:ind w:right="-62" w:firstLineChars="200" w:firstLine="643"/>
        <w:jc w:val="left"/>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第六条</w:t>
      </w:r>
      <w:r>
        <w:rPr>
          <w:rFonts w:ascii="黑体" w:eastAsia="黑体" w:hAnsi="黑体" w:cs="黑体"/>
          <w:snapToGrid w:val="0"/>
          <w:kern w:val="0"/>
          <w:sz w:val="32"/>
          <w:szCs w:val="32"/>
        </w:rPr>
        <w:t xml:space="preserve">  </w:t>
      </w:r>
      <w:r>
        <w:rPr>
          <w:rFonts w:ascii="仿宋_GB2312" w:eastAsia="仿宋_GB2312" w:hAnsi="仿宋" w:cs="仿宋" w:hint="eastAsia"/>
          <w:snapToGrid w:val="0"/>
          <w:kern w:val="0"/>
          <w:sz w:val="32"/>
          <w:szCs w:val="32"/>
        </w:rPr>
        <w:t>省</w:t>
      </w:r>
      <w:r>
        <w:rPr>
          <w:rFonts w:ascii="仿宋_GB2312" w:eastAsia="仿宋_GB2312" w:hAnsi="Times New Roman" w:hint="eastAsia"/>
          <w:snapToGrid w:val="0"/>
          <w:color w:val="000000"/>
          <w:kern w:val="0"/>
          <w:sz w:val="32"/>
          <w:szCs w:val="32"/>
        </w:rPr>
        <w:t>国有资</w:t>
      </w:r>
      <w:r>
        <w:rPr>
          <w:rFonts w:ascii="仿宋_GB2312" w:eastAsia="仿宋_GB2312" w:hAnsi="仿宋" w:cs="仿宋" w:hint="eastAsia"/>
          <w:snapToGrid w:val="0"/>
          <w:color w:val="000000"/>
          <w:kern w:val="0"/>
          <w:sz w:val="32"/>
          <w:szCs w:val="32"/>
        </w:rPr>
        <w:t>本运营控股集团有限公司（以下简称“省国控集团”）受省科技厅、省财政厅委托，负责</w:t>
      </w:r>
      <w:r>
        <w:rPr>
          <w:rFonts w:ascii="仿宋_GB2312" w:eastAsia="仿宋_GB2312" w:hAnsi="仿宋" w:cs="仿宋" w:hint="eastAsia"/>
          <w:snapToGrid w:val="0"/>
          <w:kern w:val="0"/>
          <w:sz w:val="32"/>
          <w:szCs w:val="32"/>
        </w:rPr>
        <w:t>设立安徽省科技成果转化引导基金有限责任公司（以下简称“省引导基金公司”），</w:t>
      </w:r>
      <w:proofErr w:type="gramStart"/>
      <w:r>
        <w:rPr>
          <w:rFonts w:ascii="仿宋_GB2312" w:eastAsia="仿宋_GB2312" w:hAnsi="仿宋" w:cs="仿宋" w:hint="eastAsia"/>
          <w:snapToGrid w:val="0"/>
          <w:kern w:val="0"/>
          <w:sz w:val="32"/>
          <w:szCs w:val="32"/>
        </w:rPr>
        <w:t>履行省引导</w:t>
      </w:r>
      <w:proofErr w:type="gramEnd"/>
      <w:r>
        <w:rPr>
          <w:rFonts w:ascii="仿宋_GB2312" w:eastAsia="仿宋_GB2312" w:hAnsi="仿宋" w:cs="仿宋" w:hint="eastAsia"/>
          <w:snapToGrid w:val="0"/>
          <w:kern w:val="0"/>
          <w:sz w:val="32"/>
          <w:szCs w:val="32"/>
        </w:rPr>
        <w:t>基金出资人义务，制定相关制度和考核办法，监督</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基金运行；行使省级财政出资的投资、退出、清算、收益等出资人权利；通过公开招标方式，</w:t>
      </w:r>
      <w:proofErr w:type="gramStart"/>
      <w:r>
        <w:rPr>
          <w:rFonts w:ascii="仿宋_GB2312" w:eastAsia="仿宋_GB2312" w:hAnsi="仿宋" w:cs="仿宋" w:hint="eastAsia"/>
          <w:snapToGrid w:val="0"/>
          <w:kern w:val="0"/>
          <w:sz w:val="32"/>
          <w:szCs w:val="32"/>
        </w:rPr>
        <w:t>确定省引导</w:t>
      </w:r>
      <w:proofErr w:type="gramEnd"/>
      <w:r>
        <w:rPr>
          <w:rFonts w:ascii="仿宋_GB2312" w:eastAsia="仿宋_GB2312" w:hAnsi="仿宋" w:cs="仿宋" w:hint="eastAsia"/>
          <w:snapToGrid w:val="0"/>
          <w:kern w:val="0"/>
          <w:sz w:val="32"/>
          <w:szCs w:val="32"/>
        </w:rPr>
        <w:t>基金管理机构。</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第七条</w:t>
      </w:r>
      <w:r>
        <w:rPr>
          <w:rFonts w:ascii="黑体" w:eastAsia="黑体" w:hAnsi="黑体" w:cs="黑体"/>
          <w:snapToGrid w:val="0"/>
          <w:kern w:val="0"/>
          <w:sz w:val="32"/>
          <w:szCs w:val="32"/>
        </w:rPr>
        <w:t xml:space="preserve">  </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基金管理机构负责受理</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的设立申请、尽职调查、运行管理、退出回收等以及直接股权投资项目</w:t>
      </w:r>
      <w:r>
        <w:rPr>
          <w:rFonts w:ascii="仿宋_GB2312" w:eastAsia="仿宋_GB2312" w:hAnsi="仿宋" w:cs="仿宋" w:hint="eastAsia"/>
          <w:snapToGrid w:val="0"/>
          <w:kern w:val="0"/>
          <w:sz w:val="32"/>
          <w:szCs w:val="32"/>
        </w:rPr>
        <w:lastRenderedPageBreak/>
        <w:t>的形式审查、尽职调查、投资决策、投后管理及投资退出等。</w:t>
      </w:r>
    </w:p>
    <w:p w:rsidR="00E351DE" w:rsidRDefault="00E351DE" w:rsidP="003C4E85">
      <w:pPr>
        <w:adjustRightInd w:val="0"/>
        <w:snapToGrid w:val="0"/>
        <w:spacing w:line="640" w:lineRule="exact"/>
        <w:jc w:val="center"/>
        <w:rPr>
          <w:rFonts w:ascii="黑体" w:eastAsia="黑体" w:hAnsi="黑体"/>
          <w:snapToGrid w:val="0"/>
          <w:kern w:val="0"/>
          <w:sz w:val="32"/>
          <w:szCs w:val="32"/>
        </w:rPr>
      </w:pPr>
      <w:r>
        <w:rPr>
          <w:rFonts w:ascii="黑体" w:eastAsia="黑体" w:hAnsi="黑体" w:hint="eastAsia"/>
          <w:snapToGrid w:val="0"/>
          <w:kern w:val="0"/>
          <w:sz w:val="32"/>
          <w:szCs w:val="32"/>
        </w:rPr>
        <w:t>第三章</w:t>
      </w:r>
      <w:r>
        <w:rPr>
          <w:rFonts w:ascii="黑体" w:eastAsia="黑体" w:hAnsi="黑体"/>
          <w:snapToGrid w:val="0"/>
          <w:kern w:val="0"/>
          <w:sz w:val="32"/>
          <w:szCs w:val="32"/>
        </w:rPr>
        <w:t xml:space="preserve">  </w:t>
      </w:r>
      <w:r>
        <w:rPr>
          <w:rFonts w:ascii="黑体" w:eastAsia="黑体" w:hAnsi="黑体" w:hint="eastAsia"/>
          <w:snapToGrid w:val="0"/>
          <w:kern w:val="0"/>
          <w:sz w:val="32"/>
          <w:szCs w:val="32"/>
        </w:rPr>
        <w:t>省科技成果库建设</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第八条</w:t>
      </w:r>
      <w:r>
        <w:rPr>
          <w:rFonts w:ascii="楷体" w:eastAsia="楷体" w:hAnsi="楷体" w:cs="仿宋"/>
          <w:b/>
          <w:snapToGrid w:val="0"/>
          <w:kern w:val="0"/>
          <w:sz w:val="32"/>
          <w:szCs w:val="32"/>
        </w:rPr>
        <w:t xml:space="preserve">  </w:t>
      </w:r>
      <w:r>
        <w:rPr>
          <w:rFonts w:ascii="仿宋_GB2312" w:eastAsia="仿宋_GB2312" w:hAnsi="仿宋" w:cs="仿宋" w:hint="eastAsia"/>
          <w:snapToGrid w:val="0"/>
          <w:kern w:val="0"/>
          <w:sz w:val="32"/>
          <w:szCs w:val="32"/>
        </w:rPr>
        <w:t>省科技厅负责省科技成果转化项目库（以下简称“省科技成果库”）建设。</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第九条</w:t>
      </w:r>
      <w:r>
        <w:rPr>
          <w:rFonts w:ascii="黑体" w:eastAsia="黑体" w:hAnsi="黑体" w:cs="黑体"/>
          <w:snapToGrid w:val="0"/>
          <w:kern w:val="0"/>
          <w:sz w:val="32"/>
          <w:szCs w:val="32"/>
        </w:rPr>
        <w:t xml:space="preserve">  </w:t>
      </w:r>
      <w:r>
        <w:rPr>
          <w:rFonts w:ascii="仿宋_GB2312" w:eastAsia="仿宋_GB2312" w:hAnsi="仿宋" w:cs="仿宋" w:hint="eastAsia"/>
          <w:snapToGrid w:val="0"/>
          <w:kern w:val="0"/>
          <w:sz w:val="32"/>
          <w:szCs w:val="32"/>
        </w:rPr>
        <w:t>我省企业、高校、科研院所承担国家和省重大科技专项、重点研发计划等产生的科技成果，获国家和省科技奖励的科技成果，创新创业大赛获奖项目，通过专家评审的省高层次科技人才团队创新创业项目，省区域性股权交易市场</w:t>
      </w:r>
      <w:proofErr w:type="gramStart"/>
      <w:r>
        <w:rPr>
          <w:rFonts w:ascii="仿宋_GB2312" w:eastAsia="仿宋_GB2312" w:hAnsi="仿宋" w:cs="仿宋" w:hint="eastAsia"/>
          <w:snapToGrid w:val="0"/>
          <w:kern w:val="0"/>
          <w:sz w:val="32"/>
          <w:szCs w:val="32"/>
        </w:rPr>
        <w:t>科创板</w:t>
      </w:r>
      <w:proofErr w:type="gramEnd"/>
      <w:r>
        <w:rPr>
          <w:rFonts w:ascii="仿宋_GB2312" w:eastAsia="仿宋_GB2312" w:hAnsi="仿宋" w:cs="仿宋" w:hint="eastAsia"/>
          <w:snapToGrid w:val="0"/>
          <w:kern w:val="0"/>
          <w:sz w:val="32"/>
          <w:szCs w:val="32"/>
        </w:rPr>
        <w:t>挂牌企业成果转化项目等，直接进入省科技成果库。其他各类科技成果（项目）经市县科技部门、有关归口管理单位推荐，省科技厅组织专家进行评估，筛选优秀项目进入省科技成果库。</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第十条</w:t>
      </w:r>
      <w:r>
        <w:rPr>
          <w:rFonts w:ascii="黑体" w:eastAsia="黑体" w:hAnsi="黑体" w:cs="仿宋"/>
          <w:snapToGrid w:val="0"/>
          <w:kern w:val="0"/>
          <w:sz w:val="32"/>
          <w:szCs w:val="32"/>
        </w:rPr>
        <w:t xml:space="preserve"> </w:t>
      </w:r>
      <w:r>
        <w:rPr>
          <w:rFonts w:ascii="仿宋_GB2312" w:eastAsia="仿宋_GB2312" w:hAnsi="仿宋" w:cs="仿宋"/>
          <w:snapToGrid w:val="0"/>
          <w:kern w:val="0"/>
          <w:sz w:val="32"/>
          <w:szCs w:val="32"/>
        </w:rPr>
        <w:t xml:space="preserve"> </w:t>
      </w:r>
      <w:r>
        <w:rPr>
          <w:rFonts w:ascii="仿宋_GB2312" w:eastAsia="仿宋_GB2312" w:hAnsi="仿宋" w:cs="仿宋" w:hint="eastAsia"/>
          <w:snapToGrid w:val="0"/>
          <w:kern w:val="0"/>
          <w:sz w:val="32"/>
          <w:szCs w:val="32"/>
        </w:rPr>
        <w:t>省科技成果库入库项目向</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基金和</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管理机构开放，供其从中择优遴选投资项目。</w:t>
      </w:r>
    </w:p>
    <w:p w:rsidR="00E351DE" w:rsidRDefault="00E351DE" w:rsidP="003C4E85">
      <w:pPr>
        <w:adjustRightInd w:val="0"/>
        <w:snapToGrid w:val="0"/>
        <w:spacing w:line="640" w:lineRule="exact"/>
        <w:jc w:val="center"/>
        <w:rPr>
          <w:rFonts w:ascii="方正黑体_GBK" w:eastAsia="方正黑体_GBK" w:hAnsi="Times New Roman"/>
          <w:snapToGrid w:val="0"/>
          <w:kern w:val="0"/>
          <w:sz w:val="32"/>
          <w:szCs w:val="32"/>
        </w:rPr>
      </w:pPr>
      <w:r>
        <w:rPr>
          <w:rFonts w:ascii="黑体" w:eastAsia="黑体" w:hAnsi="黑体" w:hint="eastAsia"/>
          <w:snapToGrid w:val="0"/>
          <w:kern w:val="0"/>
          <w:sz w:val="32"/>
          <w:szCs w:val="32"/>
        </w:rPr>
        <w:t>第四章</w:t>
      </w:r>
      <w:r>
        <w:rPr>
          <w:rFonts w:ascii="黑体" w:eastAsia="黑体" w:hAnsi="黑体"/>
          <w:snapToGrid w:val="0"/>
          <w:kern w:val="0"/>
          <w:sz w:val="32"/>
          <w:szCs w:val="32"/>
        </w:rPr>
        <w:t xml:space="preserve">  </w:t>
      </w:r>
      <w:proofErr w:type="gramStart"/>
      <w:r>
        <w:rPr>
          <w:rFonts w:ascii="黑体" w:eastAsia="黑体" w:hAnsi="黑体" w:hint="eastAsia"/>
          <w:snapToGrid w:val="0"/>
          <w:kern w:val="0"/>
          <w:sz w:val="32"/>
          <w:szCs w:val="32"/>
        </w:rPr>
        <w:t>子基金</w:t>
      </w:r>
      <w:proofErr w:type="gramEnd"/>
      <w:r>
        <w:rPr>
          <w:rFonts w:ascii="黑体" w:eastAsia="黑体" w:hAnsi="黑体" w:hint="eastAsia"/>
          <w:snapToGrid w:val="0"/>
          <w:kern w:val="0"/>
          <w:sz w:val="32"/>
          <w:szCs w:val="32"/>
        </w:rPr>
        <w:t>的设立</w:t>
      </w:r>
    </w:p>
    <w:p w:rsidR="00E351DE" w:rsidRDefault="00E351DE" w:rsidP="003C4E85">
      <w:pPr>
        <w:snapToGrid w:val="0"/>
        <w:spacing w:line="640" w:lineRule="exact"/>
        <w:ind w:right="-62"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第十一条</w:t>
      </w:r>
      <w:r>
        <w:rPr>
          <w:rFonts w:ascii="仿宋_GB2312" w:eastAsia="仿宋_GB2312" w:hAnsi="仿宋" w:cs="仿宋"/>
          <w:snapToGrid w:val="0"/>
          <w:kern w:val="0"/>
          <w:sz w:val="32"/>
          <w:szCs w:val="32"/>
        </w:rPr>
        <w:t xml:space="preserve">  </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设立方式包括与社会资本，国家科技成果转化引导基金，市、县（市、区）、高新区（开发区）财政性资金以及其他投资者共同发起设立，或对已有的创新创业投资基金增资设立等。</w:t>
      </w:r>
    </w:p>
    <w:p w:rsidR="00E351DE" w:rsidRDefault="00E351DE" w:rsidP="003C4E85">
      <w:pPr>
        <w:snapToGrid w:val="0"/>
        <w:spacing w:line="640" w:lineRule="exact"/>
        <w:ind w:right="-62"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第十二条</w:t>
      </w:r>
      <w:r>
        <w:rPr>
          <w:rFonts w:ascii="黑体" w:eastAsia="黑体" w:hAnsi="黑体" w:cs="仿宋"/>
          <w:snapToGrid w:val="0"/>
          <w:kern w:val="0"/>
          <w:sz w:val="32"/>
          <w:szCs w:val="32"/>
        </w:rPr>
        <w:t xml:space="preserve"> </w:t>
      </w:r>
      <w:r>
        <w:rPr>
          <w:rFonts w:ascii="仿宋_GB2312" w:eastAsia="仿宋_GB2312" w:hAnsi="仿宋" w:cs="仿宋"/>
          <w:snapToGrid w:val="0"/>
          <w:kern w:val="0"/>
          <w:sz w:val="32"/>
          <w:szCs w:val="32"/>
        </w:rPr>
        <w:t xml:space="preserve"> </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分为区域科技成果转化投资类</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和</w:t>
      </w:r>
      <w:r>
        <w:rPr>
          <w:rFonts w:ascii="仿宋_GB2312" w:eastAsia="仿宋_GB2312" w:hAnsi="仿宋" w:cs="仿宋" w:hint="eastAsia"/>
          <w:snapToGrid w:val="0"/>
          <w:kern w:val="0"/>
          <w:sz w:val="32"/>
          <w:szCs w:val="32"/>
        </w:rPr>
        <w:lastRenderedPageBreak/>
        <w:t>高新技术领域科技成果转化投资类</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两类。</w:t>
      </w:r>
    </w:p>
    <w:p w:rsidR="00E351DE" w:rsidRDefault="00E351DE" w:rsidP="003C4E85">
      <w:pPr>
        <w:snapToGrid w:val="0"/>
        <w:spacing w:line="640" w:lineRule="exact"/>
        <w:ind w:right="-62"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区域科技成果转化投资类子基金，主要投资区域内具有比较竞争优势领域的科技型中小企业和科技成果转化项目，形成省市（县、区）共同支持科技成果转化和产业化的合力。一般由市、县（市、区）、高新区（开发区）财政性出资平台提出申请。</w:t>
      </w:r>
    </w:p>
    <w:p w:rsidR="00E351DE" w:rsidRDefault="00E351DE" w:rsidP="003C4E85">
      <w:pPr>
        <w:snapToGrid w:val="0"/>
        <w:spacing w:line="640" w:lineRule="exact"/>
        <w:ind w:right="-62"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高新技术领域科技成果转化投资类子基金，聚焦</w:t>
      </w:r>
      <w:r>
        <w:rPr>
          <w:rFonts w:ascii="仿宋_GB2312" w:eastAsia="仿宋_GB2312" w:hAnsi="仿宋" w:cs="仿宋"/>
          <w:snapToGrid w:val="0"/>
          <w:kern w:val="0"/>
          <w:sz w:val="32"/>
          <w:szCs w:val="32"/>
        </w:rPr>
        <w:t>1-2</w:t>
      </w:r>
      <w:r>
        <w:rPr>
          <w:rFonts w:ascii="仿宋_GB2312" w:eastAsia="仿宋_GB2312" w:hAnsi="仿宋" w:cs="仿宋" w:hint="eastAsia"/>
          <w:snapToGrid w:val="0"/>
          <w:kern w:val="0"/>
          <w:sz w:val="32"/>
          <w:szCs w:val="32"/>
        </w:rPr>
        <w:t>个专业技术领域，支持领域内科技成果转化及产业链上下游企业做大做强。</w:t>
      </w:r>
      <w:r>
        <w:rPr>
          <w:rFonts w:ascii="仿宋_GB2312" w:eastAsia="仿宋_GB2312" w:hAnsi="仿宋" w:cs="仿宋"/>
          <w:snapToGrid w:val="0"/>
          <w:kern w:val="0"/>
          <w:sz w:val="32"/>
          <w:szCs w:val="32"/>
        </w:rPr>
        <w:t xml:space="preserve"> </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第十三条</w:t>
      </w:r>
      <w:r>
        <w:rPr>
          <w:rFonts w:ascii="仿宋_GB2312" w:eastAsia="仿宋_GB2312" w:hAnsi="仿宋" w:cs="仿宋"/>
          <w:snapToGrid w:val="0"/>
          <w:kern w:val="0"/>
          <w:sz w:val="32"/>
          <w:szCs w:val="32"/>
        </w:rPr>
        <w:t xml:space="preserve">  </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设立应通过公开征集或竞争性谈判等方式进行。</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应当在安徽省内注册，经营范围为科技创业投资，组织形式为公司制或有限合伙制。</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第十四条</w:t>
      </w:r>
      <w:r>
        <w:rPr>
          <w:rFonts w:ascii="黑体" w:eastAsia="黑体" w:hAnsi="黑体" w:cs="仿宋"/>
          <w:snapToGrid w:val="0"/>
          <w:kern w:val="0"/>
          <w:sz w:val="32"/>
          <w:szCs w:val="32"/>
        </w:rPr>
        <w:t xml:space="preserve"> </w:t>
      </w:r>
      <w:r>
        <w:rPr>
          <w:rFonts w:ascii="仿宋_GB2312" w:eastAsia="仿宋_GB2312" w:hAnsi="仿宋" w:cs="仿宋"/>
          <w:snapToGrid w:val="0"/>
          <w:kern w:val="0"/>
          <w:sz w:val="32"/>
          <w:szCs w:val="32"/>
        </w:rPr>
        <w:t xml:space="preserve"> </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申请者为投资企业的，其注册资本或净资产应不低于</w:t>
      </w:r>
      <w:r>
        <w:rPr>
          <w:rFonts w:ascii="仿宋_GB2312" w:eastAsia="仿宋_GB2312" w:hAnsi="仿宋" w:cs="仿宋"/>
          <w:snapToGrid w:val="0"/>
          <w:kern w:val="0"/>
          <w:sz w:val="32"/>
          <w:szCs w:val="32"/>
        </w:rPr>
        <w:t>5000</w:t>
      </w:r>
      <w:r>
        <w:rPr>
          <w:rFonts w:ascii="仿宋_GB2312" w:eastAsia="仿宋_GB2312" w:hAnsi="仿宋" w:cs="仿宋" w:hint="eastAsia"/>
          <w:snapToGrid w:val="0"/>
          <w:kern w:val="0"/>
          <w:sz w:val="32"/>
          <w:szCs w:val="32"/>
        </w:rPr>
        <w:t>万元；申请者为创业投资管理企业的，其实</w:t>
      </w:r>
      <w:proofErr w:type="gramStart"/>
      <w:r>
        <w:rPr>
          <w:rFonts w:ascii="仿宋_GB2312" w:eastAsia="仿宋_GB2312" w:hAnsi="仿宋" w:cs="仿宋" w:hint="eastAsia"/>
          <w:snapToGrid w:val="0"/>
          <w:kern w:val="0"/>
          <w:sz w:val="32"/>
          <w:szCs w:val="32"/>
        </w:rPr>
        <w:t>收注册</w:t>
      </w:r>
      <w:proofErr w:type="gramEnd"/>
      <w:r>
        <w:rPr>
          <w:rFonts w:ascii="仿宋_GB2312" w:eastAsia="仿宋_GB2312" w:hAnsi="仿宋" w:cs="仿宋" w:hint="eastAsia"/>
          <w:snapToGrid w:val="0"/>
          <w:kern w:val="0"/>
          <w:sz w:val="32"/>
          <w:szCs w:val="32"/>
        </w:rPr>
        <w:t>资本应不低于</w:t>
      </w:r>
      <w:r>
        <w:rPr>
          <w:rFonts w:ascii="仿宋_GB2312" w:eastAsia="仿宋_GB2312" w:hAnsi="仿宋" w:cs="仿宋"/>
          <w:snapToGrid w:val="0"/>
          <w:kern w:val="0"/>
          <w:sz w:val="32"/>
          <w:szCs w:val="32"/>
        </w:rPr>
        <w:t>1000</w:t>
      </w:r>
      <w:r>
        <w:rPr>
          <w:rFonts w:ascii="仿宋_GB2312" w:eastAsia="仿宋_GB2312" w:hAnsi="仿宋" w:cs="仿宋" w:hint="eastAsia"/>
          <w:snapToGrid w:val="0"/>
          <w:kern w:val="0"/>
          <w:sz w:val="32"/>
          <w:szCs w:val="32"/>
        </w:rPr>
        <w:t>万元。</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第十五条</w:t>
      </w:r>
      <w:r>
        <w:rPr>
          <w:rFonts w:ascii="黑体" w:eastAsia="黑体" w:hAnsi="黑体" w:cs="仿宋"/>
          <w:snapToGrid w:val="0"/>
          <w:kern w:val="0"/>
          <w:sz w:val="32"/>
          <w:szCs w:val="32"/>
        </w:rPr>
        <w:t xml:space="preserve">  </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申请者应当确定一家创业投资管理企业作为拟设立的</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管理机构，并具备以下条件：</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（一）在中国大陆境内注册，主要从事创业投资业务，有较强的募资能力；</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lastRenderedPageBreak/>
        <w:t>（二）在中国证券投资基金业协会或全国创业投资企业备案管理系统中备案；</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（三）具有完善的创业投资管理和风险控制流程，规范的项目遴选和投资决策机制，健全的内部财务管理制度，能够为所投资企业提供相关增值服务；</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（四）至少有</w:t>
      </w:r>
      <w:r>
        <w:rPr>
          <w:rFonts w:ascii="仿宋_GB2312" w:eastAsia="仿宋_GB2312" w:hAnsi="仿宋" w:cs="仿宋"/>
          <w:snapToGrid w:val="0"/>
          <w:kern w:val="0"/>
          <w:sz w:val="32"/>
          <w:szCs w:val="32"/>
        </w:rPr>
        <w:t>2</w:t>
      </w:r>
      <w:r>
        <w:rPr>
          <w:rFonts w:ascii="仿宋_GB2312" w:eastAsia="仿宋_GB2312" w:hAnsi="仿宋" w:cs="仿宋" w:hint="eastAsia"/>
          <w:snapToGrid w:val="0"/>
          <w:kern w:val="0"/>
          <w:sz w:val="32"/>
          <w:szCs w:val="32"/>
        </w:rPr>
        <w:t>名具备</w:t>
      </w:r>
      <w:r>
        <w:rPr>
          <w:rFonts w:ascii="仿宋_GB2312" w:eastAsia="仿宋_GB2312" w:hAnsi="仿宋" w:cs="仿宋"/>
          <w:snapToGrid w:val="0"/>
          <w:kern w:val="0"/>
          <w:sz w:val="32"/>
          <w:szCs w:val="32"/>
        </w:rPr>
        <w:t>5</w:t>
      </w:r>
      <w:r>
        <w:rPr>
          <w:rFonts w:ascii="仿宋_GB2312" w:eastAsia="仿宋_GB2312" w:hAnsi="仿宋" w:cs="仿宋" w:hint="eastAsia"/>
          <w:snapToGrid w:val="0"/>
          <w:kern w:val="0"/>
          <w:sz w:val="32"/>
          <w:szCs w:val="32"/>
        </w:rPr>
        <w:t>年以上创业投资或相关业务经验的专职高级管理人员，管理机构团队核心成员在国家重点支持的高新技术领域内，至少有</w:t>
      </w:r>
      <w:r>
        <w:rPr>
          <w:rFonts w:ascii="仿宋_GB2312" w:eastAsia="仿宋_GB2312" w:hAnsi="仿宋" w:cs="仿宋"/>
          <w:snapToGrid w:val="0"/>
          <w:kern w:val="0"/>
          <w:sz w:val="32"/>
          <w:szCs w:val="32"/>
        </w:rPr>
        <w:t>2</w:t>
      </w:r>
      <w:r>
        <w:rPr>
          <w:rFonts w:ascii="仿宋_GB2312" w:eastAsia="仿宋_GB2312" w:hAnsi="仿宋" w:cs="仿宋" w:hint="eastAsia"/>
          <w:snapToGrid w:val="0"/>
          <w:kern w:val="0"/>
          <w:sz w:val="32"/>
          <w:szCs w:val="32"/>
        </w:rPr>
        <w:t>个创业投资成功案例；</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（五）有切实可行的募资方案和投资计划；</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（六）</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管理机构的</w:t>
      </w:r>
      <w:proofErr w:type="gramStart"/>
      <w:r>
        <w:rPr>
          <w:rFonts w:ascii="仿宋_GB2312" w:eastAsia="仿宋_GB2312" w:hAnsi="仿宋" w:cs="仿宋" w:hint="eastAsia"/>
          <w:snapToGrid w:val="0"/>
          <w:kern w:val="0"/>
          <w:sz w:val="32"/>
          <w:szCs w:val="32"/>
        </w:rPr>
        <w:t>董监高人员</w:t>
      </w:r>
      <w:proofErr w:type="gramEnd"/>
      <w:r>
        <w:rPr>
          <w:rFonts w:ascii="仿宋_GB2312" w:eastAsia="仿宋_GB2312" w:hAnsi="仿宋" w:cs="仿宋" w:hint="eastAsia"/>
          <w:snapToGrid w:val="0"/>
          <w:kern w:val="0"/>
          <w:sz w:val="32"/>
          <w:szCs w:val="32"/>
        </w:rPr>
        <w:t>（或合伙人）、核心投资团队成员未受到法律法规禁止任职的刑事或行政处罚；</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（七）</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管理机构对子基金认缴出资额不低于基金规模的</w:t>
      </w:r>
      <w:r>
        <w:rPr>
          <w:rFonts w:ascii="仿宋_GB2312" w:eastAsia="仿宋_GB2312" w:hAnsi="仿宋" w:cs="仿宋"/>
          <w:snapToGrid w:val="0"/>
          <w:kern w:val="0"/>
          <w:sz w:val="32"/>
          <w:szCs w:val="32"/>
        </w:rPr>
        <w:t>1%</w:t>
      </w:r>
      <w:r>
        <w:rPr>
          <w:rFonts w:ascii="仿宋_GB2312" w:eastAsia="仿宋_GB2312" w:hAnsi="仿宋" w:cs="仿宋" w:hint="eastAsia"/>
          <w:snapToGrid w:val="0"/>
          <w:kern w:val="0"/>
          <w:sz w:val="32"/>
          <w:szCs w:val="32"/>
        </w:rPr>
        <w:t>。</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第十六条</w:t>
      </w:r>
      <w:r>
        <w:rPr>
          <w:rFonts w:ascii="仿宋_GB2312" w:eastAsia="仿宋_GB2312" w:hAnsi="仿宋" w:cs="仿宋"/>
          <w:snapToGrid w:val="0"/>
          <w:kern w:val="0"/>
          <w:sz w:val="32"/>
          <w:szCs w:val="32"/>
        </w:rPr>
        <w:t xml:space="preserve">  </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申请者应向省引导基金管理机构提交以下申请材料：</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（一）</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组建或增资方案；</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（二）主要出资人的出资承诺书或出资证明；</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（三）会计师事务所出具的投资企业近期的审计报告；</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（四）</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管理机构的有关材料；</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lastRenderedPageBreak/>
        <w:t>（五）其他应当提交的资料。</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第十七条</w:t>
      </w:r>
      <w:r>
        <w:rPr>
          <w:rFonts w:ascii="仿宋_GB2312" w:eastAsia="仿宋_GB2312" w:hAnsi="仿宋" w:cs="仿宋"/>
          <w:snapToGrid w:val="0"/>
          <w:kern w:val="0"/>
          <w:sz w:val="32"/>
          <w:szCs w:val="32"/>
        </w:rPr>
        <w:t xml:space="preserve">  </w:t>
      </w:r>
      <w:r>
        <w:rPr>
          <w:rFonts w:ascii="仿宋_GB2312" w:eastAsia="仿宋_GB2312" w:hAnsi="仿宋" w:cs="仿宋" w:hint="eastAsia"/>
          <w:snapToGrid w:val="0"/>
          <w:kern w:val="0"/>
          <w:sz w:val="32"/>
          <w:szCs w:val="32"/>
        </w:rPr>
        <w:t>与</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基金共同发起设立</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的，申请者除符合第十四、十五条规定外，还应满足以下条件：</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（一）主要发起人、</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管理机构已确定，其他出资人（或合伙人）已落实，并保证资金按约定及时足额到位；已草签发起人协议、</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章程或合伙协议。</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（二）单支子基金规模不低于</w:t>
      </w:r>
      <w:r>
        <w:rPr>
          <w:rFonts w:ascii="仿宋_GB2312" w:eastAsia="仿宋_GB2312" w:hAnsi="仿宋" w:cs="仿宋"/>
          <w:snapToGrid w:val="0"/>
          <w:kern w:val="0"/>
          <w:sz w:val="32"/>
          <w:szCs w:val="32"/>
        </w:rPr>
        <w:t>1</w:t>
      </w:r>
      <w:r>
        <w:rPr>
          <w:rFonts w:ascii="仿宋_GB2312" w:eastAsia="仿宋_GB2312" w:hAnsi="仿宋" w:cs="仿宋" w:hint="eastAsia"/>
          <w:snapToGrid w:val="0"/>
          <w:kern w:val="0"/>
          <w:sz w:val="32"/>
          <w:szCs w:val="32"/>
        </w:rPr>
        <w:t>亿元，其中</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基金对单支子基金出资比例原则上不超过</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总额的</w:t>
      </w:r>
      <w:r>
        <w:rPr>
          <w:rFonts w:ascii="仿宋_GB2312" w:eastAsia="仿宋_GB2312" w:hAnsi="仿宋" w:cs="仿宋"/>
          <w:snapToGrid w:val="0"/>
          <w:kern w:val="0"/>
          <w:sz w:val="32"/>
          <w:szCs w:val="32"/>
        </w:rPr>
        <w:t>30%</w:t>
      </w:r>
      <w:r>
        <w:rPr>
          <w:rFonts w:ascii="仿宋_GB2312" w:eastAsia="仿宋_GB2312" w:hAnsi="仿宋" w:cs="仿宋" w:hint="eastAsia"/>
          <w:snapToGrid w:val="0"/>
          <w:kern w:val="0"/>
          <w:sz w:val="32"/>
          <w:szCs w:val="32"/>
        </w:rPr>
        <w:t>，且不作为</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第一大股东或最大出资人，</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其余资金应依法募集。</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第十八条</w:t>
      </w:r>
      <w:r>
        <w:rPr>
          <w:rFonts w:ascii="仿宋_GB2312" w:eastAsia="仿宋_GB2312" w:hAnsi="仿宋" w:cs="仿宋"/>
          <w:snapToGrid w:val="0"/>
          <w:kern w:val="0"/>
          <w:sz w:val="32"/>
          <w:szCs w:val="32"/>
        </w:rPr>
        <w:t xml:space="preserve">  </w:t>
      </w:r>
      <w:r>
        <w:rPr>
          <w:rFonts w:ascii="仿宋_GB2312" w:eastAsia="仿宋_GB2312" w:hAnsi="仿宋" w:cs="仿宋" w:hint="eastAsia"/>
          <w:snapToGrid w:val="0"/>
          <w:kern w:val="0"/>
          <w:sz w:val="32"/>
          <w:szCs w:val="32"/>
        </w:rPr>
        <w:t>已设立的创业投资基金申请</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基金增资的，除需符合第十四条规定条件外，还应满足以下条件：</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（一）基金已按有关法律、法规设立，并开始投资运作，按规定在有关部门备案</w:t>
      </w:r>
      <w:r>
        <w:rPr>
          <w:rFonts w:ascii="仿宋_GB2312" w:eastAsia="仿宋_GB2312" w:hAnsi="仿宋" w:cs="仿宋"/>
          <w:snapToGrid w:val="0"/>
          <w:kern w:val="0"/>
          <w:sz w:val="32"/>
          <w:szCs w:val="32"/>
        </w:rPr>
        <w:t>;</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（二）基金全体出资人首期出资比例不低于注册资本或承诺出资额的</w:t>
      </w:r>
      <w:r>
        <w:rPr>
          <w:rFonts w:ascii="仿宋_GB2312" w:eastAsia="仿宋_GB2312" w:hAnsi="仿宋" w:cs="仿宋"/>
          <w:snapToGrid w:val="0"/>
          <w:kern w:val="0"/>
          <w:sz w:val="32"/>
          <w:szCs w:val="32"/>
        </w:rPr>
        <w:t>20%</w:t>
      </w:r>
      <w:r>
        <w:rPr>
          <w:rFonts w:ascii="仿宋_GB2312" w:eastAsia="仿宋_GB2312" w:hAnsi="仿宋" w:cs="仿宋" w:hint="eastAsia"/>
          <w:snapToGrid w:val="0"/>
          <w:kern w:val="0"/>
          <w:sz w:val="32"/>
          <w:szCs w:val="32"/>
        </w:rPr>
        <w:t>；</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（三）基金全体出资人同意</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基金入股（或入伙），且增资价格在不高于基金评估值的基础上协商确定。</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第十九条</w:t>
      </w:r>
      <w:r>
        <w:rPr>
          <w:rFonts w:ascii="黑体" w:eastAsia="黑体" w:hAnsi="黑体" w:cs="仿宋"/>
          <w:snapToGrid w:val="0"/>
          <w:kern w:val="0"/>
          <w:sz w:val="32"/>
          <w:szCs w:val="32"/>
        </w:rPr>
        <w:t xml:space="preserve"> </w:t>
      </w:r>
      <w:r>
        <w:rPr>
          <w:rFonts w:ascii="仿宋_GB2312" w:eastAsia="仿宋_GB2312" w:hAnsi="仿宋" w:cs="仿宋"/>
          <w:snapToGrid w:val="0"/>
          <w:kern w:val="0"/>
          <w:sz w:val="32"/>
          <w:szCs w:val="32"/>
        </w:rPr>
        <w:t xml:space="preserve"> </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可采取一次募集或分期方式出资</w:t>
      </w:r>
      <w:r>
        <w:rPr>
          <w:rFonts w:ascii="仿宋_GB2312" w:eastAsia="仿宋_GB2312" w:hAnsi="仿宋_GB2312" w:cs="仿宋_GB2312" w:hint="eastAsia"/>
          <w:snapToGrid w:val="0"/>
          <w:color w:val="000000"/>
          <w:kern w:val="0"/>
          <w:sz w:val="32"/>
          <w:szCs w:val="32"/>
          <w:shd w:val="clear" w:color="auto" w:fill="FFFFFF"/>
        </w:rPr>
        <w:t>，</w:t>
      </w:r>
      <w:proofErr w:type="gramStart"/>
      <w:r>
        <w:rPr>
          <w:rFonts w:ascii="仿宋_GB2312" w:eastAsia="仿宋_GB2312" w:hAnsi="仿宋_GB2312" w:cs="仿宋_GB2312" w:hint="eastAsia"/>
          <w:snapToGrid w:val="0"/>
          <w:color w:val="000000"/>
          <w:kern w:val="0"/>
          <w:sz w:val="32"/>
          <w:szCs w:val="32"/>
          <w:shd w:val="clear" w:color="auto" w:fill="FFFFFF"/>
        </w:rPr>
        <w:t>省引导</w:t>
      </w:r>
      <w:proofErr w:type="gramEnd"/>
      <w:r>
        <w:rPr>
          <w:rFonts w:ascii="仿宋_GB2312" w:eastAsia="仿宋_GB2312" w:hAnsi="仿宋_GB2312" w:cs="仿宋_GB2312" w:hint="eastAsia"/>
          <w:snapToGrid w:val="0"/>
          <w:color w:val="000000"/>
          <w:kern w:val="0"/>
          <w:sz w:val="32"/>
          <w:szCs w:val="32"/>
          <w:shd w:val="clear" w:color="auto" w:fill="FFFFFF"/>
        </w:rPr>
        <w:t>基金与其他出资人按照同等比例出资，并在其他出资人出资</w:t>
      </w:r>
      <w:r>
        <w:rPr>
          <w:rFonts w:ascii="仿宋_GB2312" w:eastAsia="仿宋_GB2312" w:hAnsi="仿宋_GB2312" w:cs="仿宋_GB2312" w:hint="eastAsia"/>
          <w:snapToGrid w:val="0"/>
          <w:color w:val="000000"/>
          <w:kern w:val="0"/>
          <w:sz w:val="32"/>
          <w:szCs w:val="32"/>
          <w:shd w:val="clear" w:color="auto" w:fill="FFFFFF"/>
        </w:rPr>
        <w:lastRenderedPageBreak/>
        <w:t>后再行出资</w:t>
      </w:r>
      <w:r>
        <w:rPr>
          <w:rFonts w:ascii="仿宋_GB2312" w:eastAsia="仿宋_GB2312" w:hAnsi="仿宋" w:cs="仿宋" w:hint="eastAsia"/>
          <w:snapToGrid w:val="0"/>
          <w:kern w:val="0"/>
          <w:sz w:val="32"/>
          <w:szCs w:val="32"/>
        </w:rPr>
        <w:t>。出资人应于</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完成工商注册登记后</w:t>
      </w:r>
      <w:r>
        <w:rPr>
          <w:rFonts w:ascii="仿宋_GB2312" w:eastAsia="仿宋_GB2312" w:hAnsi="仿宋" w:cs="仿宋"/>
          <w:snapToGrid w:val="0"/>
          <w:kern w:val="0"/>
          <w:sz w:val="32"/>
          <w:szCs w:val="32"/>
        </w:rPr>
        <w:t>3</w:t>
      </w:r>
      <w:r>
        <w:rPr>
          <w:rFonts w:ascii="仿宋_GB2312" w:eastAsia="仿宋_GB2312" w:hAnsi="仿宋" w:cs="仿宋" w:hint="eastAsia"/>
          <w:snapToGrid w:val="0"/>
          <w:kern w:val="0"/>
          <w:sz w:val="32"/>
          <w:szCs w:val="32"/>
        </w:rPr>
        <w:t>个月内完成首期实缴出资，首期出资不低于总规模的</w:t>
      </w:r>
      <w:r>
        <w:rPr>
          <w:rFonts w:ascii="仿宋_GB2312" w:eastAsia="仿宋_GB2312" w:hAnsi="仿宋" w:cs="仿宋"/>
          <w:snapToGrid w:val="0"/>
          <w:kern w:val="0"/>
          <w:sz w:val="32"/>
          <w:szCs w:val="32"/>
        </w:rPr>
        <w:t>30%</w:t>
      </w:r>
      <w:r>
        <w:rPr>
          <w:rFonts w:ascii="仿宋_GB2312" w:eastAsia="仿宋_GB2312" w:hAnsi="仿宋_GB2312" w:cs="仿宋_GB2312" w:hint="eastAsia"/>
          <w:snapToGrid w:val="0"/>
          <w:color w:val="000000"/>
          <w:kern w:val="0"/>
          <w:sz w:val="32"/>
          <w:szCs w:val="32"/>
          <w:shd w:val="clear" w:color="auto" w:fill="FFFFFF"/>
        </w:rPr>
        <w:t>。</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第二十条</w:t>
      </w:r>
      <w:r>
        <w:rPr>
          <w:rFonts w:ascii="仿宋_GB2312" w:eastAsia="仿宋_GB2312" w:hAnsi="仿宋" w:cs="仿宋"/>
          <w:snapToGrid w:val="0"/>
          <w:kern w:val="0"/>
          <w:sz w:val="32"/>
          <w:szCs w:val="32"/>
        </w:rPr>
        <w:t xml:space="preserve">  </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存续期一般不超过</w:t>
      </w:r>
      <w:r>
        <w:rPr>
          <w:rFonts w:ascii="仿宋_GB2312" w:eastAsia="仿宋_GB2312" w:hAnsi="仿宋" w:cs="仿宋"/>
          <w:snapToGrid w:val="0"/>
          <w:kern w:val="0"/>
          <w:sz w:val="32"/>
          <w:szCs w:val="32"/>
        </w:rPr>
        <w:t>6</w:t>
      </w:r>
      <w:r>
        <w:rPr>
          <w:rFonts w:ascii="仿宋_GB2312" w:eastAsia="仿宋_GB2312" w:hAnsi="仿宋" w:cs="仿宋" w:hint="eastAsia"/>
          <w:snapToGrid w:val="0"/>
          <w:kern w:val="0"/>
          <w:sz w:val="32"/>
          <w:szCs w:val="32"/>
        </w:rPr>
        <w:t>年。在</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股权资产转让或变现受限等情况下，经</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出资人协商一致，最多可延长</w:t>
      </w:r>
      <w:r>
        <w:rPr>
          <w:rFonts w:ascii="仿宋_GB2312" w:eastAsia="仿宋_GB2312" w:hAnsi="仿宋" w:cs="仿宋"/>
          <w:snapToGrid w:val="0"/>
          <w:kern w:val="0"/>
          <w:sz w:val="32"/>
          <w:szCs w:val="32"/>
        </w:rPr>
        <w:t>2</w:t>
      </w:r>
      <w:r>
        <w:rPr>
          <w:rFonts w:ascii="仿宋_GB2312" w:eastAsia="仿宋_GB2312" w:hAnsi="仿宋" w:cs="仿宋" w:hint="eastAsia"/>
          <w:snapToGrid w:val="0"/>
          <w:kern w:val="0"/>
          <w:sz w:val="32"/>
          <w:szCs w:val="32"/>
        </w:rPr>
        <w:t>年。</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第二十一条</w:t>
      </w:r>
      <w:r>
        <w:rPr>
          <w:rFonts w:ascii="仿宋_GB2312" w:eastAsia="仿宋_GB2312" w:hAnsi="仿宋" w:cs="仿宋"/>
          <w:snapToGrid w:val="0"/>
          <w:kern w:val="0"/>
          <w:sz w:val="32"/>
          <w:szCs w:val="32"/>
        </w:rPr>
        <w:t xml:space="preserve">  </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设立流程：</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（一）设立申请。拟与</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基金合作设立</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的主发起人，向</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基金管理机构提出设立申请。</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（二）形式审查。</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基金管理机构受理</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设立申请并进行形式审查。</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（三）尽职调查。</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基金管理机构对通过形式审查的</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开展尽职调查，向专家咨询委员会出具尽职调查报告。</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（四）投资审核。专家咨询委员会对</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基金管理机构提交的尽职调查报告进行审核，出具审核意见。</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（五）社会公示。省科技厅根据专家咨询委员会审核意见，对子基金设立方案进行审议，对符合设立条件的</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向社会公示。</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（六）批准设立。对公示无异议的，省科技厅、省财政厅批准出资设立子基金，并向社会公告。</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lastRenderedPageBreak/>
        <w:t>（七）签署协议。</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基金公司与</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出资人签署合作（合伙）协议。协议应明确约定资金到位序时进度。</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第二十二条</w:t>
      </w:r>
      <w:r>
        <w:rPr>
          <w:rFonts w:ascii="黑体" w:eastAsia="黑体" w:hAnsi="黑体" w:cs="仿宋"/>
          <w:snapToGrid w:val="0"/>
          <w:kern w:val="0"/>
          <w:sz w:val="32"/>
          <w:szCs w:val="32"/>
        </w:rPr>
        <w:t xml:space="preserve"> </w:t>
      </w:r>
      <w:r>
        <w:rPr>
          <w:rFonts w:ascii="仿宋_GB2312" w:eastAsia="仿宋_GB2312" w:hAnsi="仿宋" w:cs="仿宋"/>
          <w:snapToGrid w:val="0"/>
          <w:kern w:val="0"/>
          <w:sz w:val="32"/>
          <w:szCs w:val="32"/>
        </w:rPr>
        <w:t xml:space="preserve"> </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应按照规定做好备案工作，并按照证监会相关法律法规运作。</w:t>
      </w:r>
    </w:p>
    <w:p w:rsidR="00E351DE" w:rsidRDefault="00E351DE" w:rsidP="003C4E85">
      <w:pPr>
        <w:adjustRightInd w:val="0"/>
        <w:snapToGrid w:val="0"/>
        <w:spacing w:line="640" w:lineRule="exact"/>
        <w:jc w:val="center"/>
        <w:rPr>
          <w:rFonts w:ascii="黑体" w:eastAsia="黑体" w:hAnsi="黑体"/>
          <w:snapToGrid w:val="0"/>
          <w:kern w:val="0"/>
          <w:sz w:val="32"/>
          <w:szCs w:val="32"/>
        </w:rPr>
      </w:pPr>
      <w:r>
        <w:rPr>
          <w:rFonts w:ascii="黑体" w:eastAsia="黑体" w:hAnsi="黑体" w:hint="eastAsia"/>
          <w:snapToGrid w:val="0"/>
          <w:kern w:val="0"/>
          <w:sz w:val="32"/>
          <w:szCs w:val="32"/>
        </w:rPr>
        <w:t>第五章</w:t>
      </w:r>
      <w:r>
        <w:rPr>
          <w:rFonts w:ascii="黑体" w:eastAsia="黑体" w:hAnsi="黑体"/>
          <w:snapToGrid w:val="0"/>
          <w:kern w:val="0"/>
          <w:sz w:val="32"/>
          <w:szCs w:val="32"/>
        </w:rPr>
        <w:t xml:space="preserve">  </w:t>
      </w:r>
      <w:r>
        <w:rPr>
          <w:rFonts w:ascii="黑体" w:eastAsia="黑体" w:hAnsi="黑体" w:hint="eastAsia"/>
          <w:snapToGrid w:val="0"/>
          <w:kern w:val="0"/>
          <w:sz w:val="32"/>
          <w:szCs w:val="32"/>
        </w:rPr>
        <w:t>直接股权投资</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第二十三条</w:t>
      </w:r>
      <w:r>
        <w:rPr>
          <w:rFonts w:ascii="仿宋_GB2312" w:eastAsia="仿宋_GB2312" w:hAnsi="仿宋" w:cs="仿宋"/>
          <w:snapToGrid w:val="0"/>
          <w:kern w:val="0"/>
          <w:sz w:val="32"/>
          <w:szCs w:val="32"/>
        </w:rPr>
        <w:t xml:space="preserve">  </w:t>
      </w:r>
      <w:r>
        <w:rPr>
          <w:rFonts w:ascii="仿宋_GB2312" w:eastAsia="仿宋_GB2312" w:hAnsi="仿宋" w:cs="仿宋" w:hint="eastAsia"/>
          <w:snapToGrid w:val="0"/>
          <w:kern w:val="0"/>
          <w:sz w:val="32"/>
          <w:szCs w:val="32"/>
        </w:rPr>
        <w:t>直接股权投资的决策流程：</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（一）项目遴选。</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基金管理机构从省科技成果库入库项目中择优遴选拟投资项目，或符合条件的企业直接向</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基金管理机构提出投资申请。</w:t>
      </w:r>
    </w:p>
    <w:p w:rsidR="00E351DE" w:rsidRPr="003C4E85" w:rsidRDefault="00E351DE" w:rsidP="003C4E85">
      <w:pPr>
        <w:adjustRightInd w:val="0"/>
        <w:snapToGrid w:val="0"/>
        <w:spacing w:line="640" w:lineRule="exact"/>
        <w:ind w:firstLineChars="200" w:firstLine="640"/>
        <w:rPr>
          <w:rFonts w:ascii="仿宋_GB2312" w:eastAsia="仿宋_GB2312" w:hAnsi="仿宋" w:cs="仿宋"/>
          <w:snapToGrid w:val="0"/>
          <w:spacing w:val="-10"/>
          <w:kern w:val="0"/>
          <w:sz w:val="32"/>
          <w:szCs w:val="32"/>
        </w:rPr>
      </w:pPr>
      <w:r>
        <w:rPr>
          <w:rFonts w:ascii="仿宋_GB2312" w:eastAsia="仿宋_GB2312" w:hAnsi="仿宋" w:cs="仿宋" w:hint="eastAsia"/>
          <w:snapToGrid w:val="0"/>
          <w:kern w:val="0"/>
          <w:sz w:val="32"/>
          <w:szCs w:val="32"/>
        </w:rPr>
        <w:t>（二）形式审查。</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基金管理机构对从省科技成果库</w:t>
      </w:r>
      <w:r w:rsidRPr="003C4E85">
        <w:rPr>
          <w:rFonts w:ascii="仿宋_GB2312" w:eastAsia="仿宋_GB2312" w:hAnsi="仿宋" w:cs="仿宋" w:hint="eastAsia"/>
          <w:snapToGrid w:val="0"/>
          <w:spacing w:val="-10"/>
          <w:kern w:val="0"/>
          <w:sz w:val="32"/>
          <w:szCs w:val="32"/>
        </w:rPr>
        <w:t>中择优挑选的项目或受理的企业申请的投资项目进行形式审查。</w:t>
      </w:r>
    </w:p>
    <w:p w:rsidR="00E351DE" w:rsidRPr="003C4E85" w:rsidRDefault="00E351DE" w:rsidP="003C4E85">
      <w:pPr>
        <w:adjustRightInd w:val="0"/>
        <w:snapToGrid w:val="0"/>
        <w:spacing w:line="640" w:lineRule="exact"/>
        <w:ind w:firstLineChars="200" w:firstLine="640"/>
        <w:rPr>
          <w:rFonts w:ascii="仿宋_GB2312" w:eastAsia="仿宋_GB2312" w:hAnsi="仿宋" w:cs="仿宋"/>
          <w:snapToGrid w:val="0"/>
          <w:spacing w:val="-10"/>
          <w:kern w:val="0"/>
          <w:sz w:val="32"/>
          <w:szCs w:val="32"/>
        </w:rPr>
      </w:pPr>
      <w:r>
        <w:rPr>
          <w:rFonts w:ascii="仿宋_GB2312" w:eastAsia="仿宋_GB2312" w:hAnsi="仿宋" w:cs="仿宋" w:hint="eastAsia"/>
          <w:snapToGrid w:val="0"/>
          <w:kern w:val="0"/>
          <w:sz w:val="32"/>
          <w:szCs w:val="32"/>
        </w:rPr>
        <w:t>（三）尽职调查。</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基金管理机构对通过形式审查的</w:t>
      </w:r>
      <w:r w:rsidRPr="003C4E85">
        <w:rPr>
          <w:rFonts w:ascii="仿宋_GB2312" w:eastAsia="仿宋_GB2312" w:hAnsi="仿宋" w:cs="仿宋" w:hint="eastAsia"/>
          <w:snapToGrid w:val="0"/>
          <w:spacing w:val="-10"/>
          <w:kern w:val="0"/>
          <w:sz w:val="32"/>
          <w:szCs w:val="32"/>
        </w:rPr>
        <w:t>项目开展尽职调查，向专家咨询委员会办公室出具尽职调查报告。</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（五）投资审核。专家咨询委员会对</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基金管理机构提交的尽职调查报告进行审核，出具审核意见。</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（六）投资决策。</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基金管理机构根据专家咨询委员会审核意见，进行最终投资决策。</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（七）备案公示。</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基金管理机构将拟投资的项目，由省</w:t>
      </w:r>
      <w:proofErr w:type="gramStart"/>
      <w:r>
        <w:rPr>
          <w:rFonts w:ascii="仿宋_GB2312" w:eastAsia="仿宋_GB2312" w:hAnsi="仿宋" w:cs="仿宋" w:hint="eastAsia"/>
          <w:snapToGrid w:val="0"/>
          <w:kern w:val="0"/>
          <w:sz w:val="32"/>
          <w:szCs w:val="32"/>
        </w:rPr>
        <w:t>国控集团</w:t>
      </w:r>
      <w:proofErr w:type="gramEnd"/>
      <w:r>
        <w:rPr>
          <w:rFonts w:ascii="仿宋_GB2312" w:eastAsia="仿宋_GB2312" w:hAnsi="仿宋" w:cs="仿宋" w:hint="eastAsia"/>
          <w:snapToGrid w:val="0"/>
          <w:kern w:val="0"/>
          <w:sz w:val="32"/>
          <w:szCs w:val="32"/>
        </w:rPr>
        <w:t>报省科技厅、省财政厅备案，并向社会公示。</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lastRenderedPageBreak/>
        <w:t>第二十四条</w:t>
      </w:r>
      <w:r>
        <w:rPr>
          <w:rFonts w:ascii="仿宋_GB2312" w:eastAsia="仿宋_GB2312" w:hAnsi="仿宋" w:cs="仿宋"/>
          <w:snapToGrid w:val="0"/>
          <w:kern w:val="0"/>
          <w:sz w:val="32"/>
          <w:szCs w:val="32"/>
        </w:rPr>
        <w:t xml:space="preserve">  </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基金用于直接股权投资的资金原则上不超过</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基金实缴资本的</w:t>
      </w:r>
      <w:r>
        <w:rPr>
          <w:rFonts w:ascii="仿宋_GB2312" w:eastAsia="仿宋_GB2312" w:hAnsi="仿宋" w:cs="仿宋"/>
          <w:snapToGrid w:val="0"/>
          <w:kern w:val="0"/>
          <w:sz w:val="32"/>
          <w:szCs w:val="32"/>
        </w:rPr>
        <w:t>25%</w:t>
      </w:r>
      <w:r>
        <w:rPr>
          <w:rFonts w:ascii="仿宋_GB2312" w:eastAsia="仿宋_GB2312" w:hAnsi="仿宋" w:cs="仿宋" w:hint="eastAsia"/>
          <w:snapToGrid w:val="0"/>
          <w:kern w:val="0"/>
          <w:sz w:val="32"/>
          <w:szCs w:val="32"/>
        </w:rPr>
        <w:t>。单个项目投资总额原则上不超过</w:t>
      </w:r>
      <w:r>
        <w:rPr>
          <w:rFonts w:ascii="仿宋_GB2312" w:eastAsia="仿宋_GB2312" w:hAnsi="仿宋" w:cs="仿宋"/>
          <w:snapToGrid w:val="0"/>
          <w:kern w:val="0"/>
          <w:sz w:val="32"/>
          <w:szCs w:val="32"/>
        </w:rPr>
        <w:t>2000</w:t>
      </w:r>
      <w:r>
        <w:rPr>
          <w:rFonts w:ascii="仿宋_GB2312" w:eastAsia="仿宋_GB2312" w:hAnsi="仿宋" w:cs="仿宋" w:hint="eastAsia"/>
          <w:snapToGrid w:val="0"/>
          <w:kern w:val="0"/>
          <w:sz w:val="32"/>
          <w:szCs w:val="32"/>
        </w:rPr>
        <w:t>万元。</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第二十五条</w:t>
      </w:r>
      <w:r>
        <w:rPr>
          <w:rFonts w:ascii="仿宋_GB2312" w:eastAsia="仿宋_GB2312" w:hAnsi="仿宋" w:cs="仿宋"/>
          <w:snapToGrid w:val="0"/>
          <w:kern w:val="0"/>
          <w:sz w:val="32"/>
          <w:szCs w:val="32"/>
        </w:rPr>
        <w:t xml:space="preserve">  </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基金管理机构按照相关法律法规和政策规定，与被投企业及其他投资主体共同签订投资协议和相关法律文件。投资期限一般不超过</w:t>
      </w:r>
      <w:r>
        <w:rPr>
          <w:rFonts w:ascii="仿宋_GB2312" w:eastAsia="仿宋_GB2312" w:hAnsi="仿宋" w:cs="仿宋"/>
          <w:snapToGrid w:val="0"/>
          <w:kern w:val="0"/>
          <w:sz w:val="32"/>
          <w:szCs w:val="32"/>
        </w:rPr>
        <w:t>6</w:t>
      </w:r>
      <w:r>
        <w:rPr>
          <w:rFonts w:ascii="仿宋_GB2312" w:eastAsia="仿宋_GB2312" w:hAnsi="仿宋" w:cs="仿宋" w:hint="eastAsia"/>
          <w:snapToGrid w:val="0"/>
          <w:kern w:val="0"/>
          <w:sz w:val="32"/>
          <w:szCs w:val="32"/>
        </w:rPr>
        <w:t>年，最长可延长</w:t>
      </w:r>
      <w:r>
        <w:rPr>
          <w:rFonts w:ascii="仿宋_GB2312" w:eastAsia="仿宋_GB2312" w:hAnsi="仿宋" w:cs="仿宋"/>
          <w:snapToGrid w:val="0"/>
          <w:kern w:val="0"/>
          <w:sz w:val="32"/>
          <w:szCs w:val="32"/>
        </w:rPr>
        <w:t>2</w:t>
      </w:r>
      <w:r>
        <w:rPr>
          <w:rFonts w:ascii="仿宋_GB2312" w:eastAsia="仿宋_GB2312" w:hAnsi="仿宋" w:cs="仿宋" w:hint="eastAsia"/>
          <w:snapToGrid w:val="0"/>
          <w:kern w:val="0"/>
          <w:sz w:val="32"/>
          <w:szCs w:val="32"/>
        </w:rPr>
        <w:t>年。</w:t>
      </w:r>
    </w:p>
    <w:p w:rsidR="00E351DE" w:rsidRDefault="00E351DE" w:rsidP="003C4E85">
      <w:pPr>
        <w:adjustRightInd w:val="0"/>
        <w:snapToGrid w:val="0"/>
        <w:spacing w:line="640" w:lineRule="exact"/>
        <w:jc w:val="center"/>
        <w:rPr>
          <w:rFonts w:ascii="黑体" w:eastAsia="黑体" w:hAnsi="黑体"/>
          <w:snapToGrid w:val="0"/>
          <w:kern w:val="0"/>
          <w:sz w:val="32"/>
          <w:szCs w:val="32"/>
        </w:rPr>
      </w:pPr>
      <w:r>
        <w:rPr>
          <w:rFonts w:ascii="黑体" w:eastAsia="黑体" w:hAnsi="黑体" w:hint="eastAsia"/>
          <w:snapToGrid w:val="0"/>
          <w:kern w:val="0"/>
          <w:sz w:val="32"/>
          <w:szCs w:val="32"/>
        </w:rPr>
        <w:t>第六章</w:t>
      </w:r>
      <w:r>
        <w:rPr>
          <w:rFonts w:ascii="黑体" w:eastAsia="黑体" w:hAnsi="黑体"/>
          <w:snapToGrid w:val="0"/>
          <w:kern w:val="0"/>
          <w:sz w:val="32"/>
          <w:szCs w:val="32"/>
        </w:rPr>
        <w:t xml:space="preserve">  </w:t>
      </w:r>
      <w:r>
        <w:rPr>
          <w:rFonts w:ascii="黑体" w:eastAsia="黑体" w:hAnsi="黑体" w:hint="eastAsia"/>
          <w:snapToGrid w:val="0"/>
          <w:kern w:val="0"/>
          <w:sz w:val="32"/>
          <w:szCs w:val="32"/>
        </w:rPr>
        <w:t>投资管理</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第二十六条</w:t>
      </w:r>
      <w:r>
        <w:rPr>
          <w:rFonts w:ascii="仿宋_GB2312" w:eastAsia="仿宋_GB2312" w:hAnsi="仿宋" w:cs="仿宋"/>
          <w:snapToGrid w:val="0"/>
          <w:kern w:val="0"/>
          <w:sz w:val="32"/>
          <w:szCs w:val="32"/>
        </w:rPr>
        <w:t xml:space="preserve">  </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基金管理机构负责管理</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基金直接股权投资项目，依据法律法规和</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章程（合伙协议）等规定，参与</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增资、章程（合伙协议）修改、管理机构变更、退出清算等重大事项决策，监督</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的投资和运作，但原则上不参与</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的日常管理。</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管理机构做出投资决定后，应在实施投资前</w:t>
      </w:r>
      <w:r>
        <w:rPr>
          <w:rFonts w:ascii="仿宋_GB2312" w:eastAsia="仿宋_GB2312" w:hAnsi="仿宋" w:cs="仿宋"/>
          <w:snapToGrid w:val="0"/>
          <w:kern w:val="0"/>
          <w:sz w:val="32"/>
          <w:szCs w:val="32"/>
        </w:rPr>
        <w:t>3</w:t>
      </w:r>
      <w:r>
        <w:rPr>
          <w:rFonts w:ascii="仿宋_GB2312" w:eastAsia="仿宋_GB2312" w:hAnsi="仿宋" w:cs="仿宋" w:hint="eastAsia"/>
          <w:snapToGrid w:val="0"/>
          <w:kern w:val="0"/>
          <w:sz w:val="32"/>
          <w:szCs w:val="32"/>
        </w:rPr>
        <w:t>个工作日报告</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基金管理机构。</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第二十七条</w:t>
      </w:r>
      <w:r>
        <w:rPr>
          <w:rFonts w:ascii="仿宋_GB2312" w:eastAsia="仿宋_GB2312" w:hAnsi="仿宋" w:cs="仿宋"/>
          <w:snapToGrid w:val="0"/>
          <w:kern w:val="0"/>
          <w:sz w:val="32"/>
          <w:szCs w:val="32"/>
        </w:rPr>
        <w:t xml:space="preserve">  </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基金及</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应主要投向国内外在皖转化的先进科技成果及高新技术企业、科技型中小企业。</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highlight w:val="yellow"/>
        </w:rPr>
      </w:pP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基金直接股权投资须全部投向省内项目（系指项目实际落户安徽境内，下同），且不低于</w:t>
      </w:r>
      <w:r>
        <w:rPr>
          <w:rFonts w:ascii="仿宋_GB2312" w:eastAsia="仿宋_GB2312" w:hAnsi="仿宋" w:cs="仿宋"/>
          <w:snapToGrid w:val="0"/>
          <w:kern w:val="0"/>
          <w:sz w:val="32"/>
          <w:szCs w:val="32"/>
        </w:rPr>
        <w:t>80%</w:t>
      </w:r>
      <w:r>
        <w:rPr>
          <w:rFonts w:ascii="仿宋_GB2312" w:eastAsia="仿宋_GB2312" w:hAnsi="仿宋" w:cs="仿宋" w:hint="eastAsia"/>
          <w:snapToGrid w:val="0"/>
          <w:kern w:val="0"/>
          <w:sz w:val="32"/>
          <w:szCs w:val="32"/>
        </w:rPr>
        <w:t>的资金须投向省科技成果库入库项目。</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投资省内项目和资金应不低于</w:t>
      </w:r>
      <w:r>
        <w:rPr>
          <w:rFonts w:ascii="仿宋_GB2312" w:eastAsia="仿宋_GB2312" w:hAnsi="仿宋" w:cs="仿宋"/>
          <w:snapToGrid w:val="0"/>
          <w:kern w:val="0"/>
          <w:sz w:val="32"/>
          <w:szCs w:val="32"/>
        </w:rPr>
        <w:t>80%</w:t>
      </w:r>
      <w:r>
        <w:rPr>
          <w:rFonts w:ascii="仿宋_GB2312" w:eastAsia="仿宋_GB2312" w:hAnsi="仿宋" w:cs="仿宋" w:hint="eastAsia"/>
          <w:snapToGrid w:val="0"/>
          <w:kern w:val="0"/>
          <w:sz w:val="32"/>
          <w:szCs w:val="32"/>
        </w:rPr>
        <w:t>，且投资省科技成果库入库项目资金应不低于</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基金出资额的</w:t>
      </w:r>
      <w:r>
        <w:rPr>
          <w:rFonts w:ascii="仿宋_GB2312" w:eastAsia="仿宋_GB2312" w:hAnsi="仿宋" w:cs="仿宋"/>
          <w:snapToGrid w:val="0"/>
          <w:kern w:val="0"/>
          <w:sz w:val="32"/>
          <w:szCs w:val="32"/>
        </w:rPr>
        <w:lastRenderedPageBreak/>
        <w:t>2</w:t>
      </w:r>
      <w:r>
        <w:rPr>
          <w:rFonts w:ascii="仿宋_GB2312" w:eastAsia="仿宋_GB2312" w:hAnsi="仿宋" w:cs="仿宋" w:hint="eastAsia"/>
          <w:snapToGrid w:val="0"/>
          <w:kern w:val="0"/>
          <w:sz w:val="32"/>
          <w:szCs w:val="32"/>
        </w:rPr>
        <w:t>倍，对单个企业累计投资原则上不超过</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规模的</w:t>
      </w:r>
      <w:r>
        <w:rPr>
          <w:rFonts w:ascii="仿宋_GB2312" w:eastAsia="仿宋_GB2312" w:hAnsi="仿宋" w:cs="仿宋"/>
          <w:snapToGrid w:val="0"/>
          <w:kern w:val="0"/>
          <w:sz w:val="32"/>
          <w:szCs w:val="32"/>
        </w:rPr>
        <w:t>20%</w:t>
      </w:r>
      <w:r>
        <w:rPr>
          <w:rFonts w:ascii="仿宋_GB2312" w:eastAsia="仿宋_GB2312" w:hAnsi="仿宋" w:cs="仿宋" w:hint="eastAsia"/>
          <w:snapToGrid w:val="0"/>
          <w:kern w:val="0"/>
          <w:sz w:val="32"/>
          <w:szCs w:val="32"/>
        </w:rPr>
        <w:t>。</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第二十八条</w:t>
      </w:r>
      <w:r>
        <w:rPr>
          <w:rFonts w:ascii="楷体" w:eastAsia="楷体" w:hAnsi="楷体" w:cs="仿宋"/>
          <w:b/>
          <w:snapToGrid w:val="0"/>
          <w:kern w:val="0"/>
          <w:sz w:val="32"/>
          <w:szCs w:val="32"/>
        </w:rPr>
        <w:t xml:space="preserve">  </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基金及</w:t>
      </w:r>
      <w:proofErr w:type="gramStart"/>
      <w:r>
        <w:rPr>
          <w:rFonts w:ascii="仿宋_GB2312" w:eastAsia="仿宋_GB2312" w:hAnsi="仿宋" w:cs="仿宋" w:hint="eastAsia"/>
          <w:snapToGrid w:val="0"/>
          <w:kern w:val="0"/>
          <w:sz w:val="32"/>
          <w:szCs w:val="32"/>
        </w:rPr>
        <w:t>子基金待投资</w:t>
      </w:r>
      <w:proofErr w:type="gramEnd"/>
      <w:r>
        <w:rPr>
          <w:rFonts w:ascii="仿宋_GB2312" w:eastAsia="仿宋_GB2312" w:hAnsi="仿宋" w:cs="仿宋" w:hint="eastAsia"/>
          <w:snapToGrid w:val="0"/>
          <w:kern w:val="0"/>
          <w:sz w:val="32"/>
          <w:szCs w:val="32"/>
        </w:rPr>
        <w:t>金应存放托管银行或购买国债等风险低、流动性强的符合国家有关规定的金融产品。不得开展从事以下业务：</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（一）投资于已上市企业（所投资企业上市后，</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所持股份未转让及其配售部分除外）；</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（二）从事担保、抵押、委托贷款、房地产（包括购买自用房地产）等业务；</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（三）投资于股票、期货、企业债券、信托产品、理财产品、保险计划及其他金融衍生品；</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（四）进行承担无限连带责任的对外投资；</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（五）吸收或变相吸收存款，以及发行信托或集合理财产品的形式募集资金；</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（六）向任何第三方提供资金拆借、赞助、捐赠等；</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（七）其他国家法律法规禁止从事的业务。</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第二十九条</w:t>
      </w:r>
      <w:r>
        <w:rPr>
          <w:rFonts w:ascii="仿宋_GB2312" w:eastAsia="仿宋_GB2312" w:hAnsi="仿宋" w:cs="仿宋"/>
          <w:snapToGrid w:val="0"/>
          <w:kern w:val="0"/>
          <w:sz w:val="32"/>
          <w:szCs w:val="32"/>
        </w:rPr>
        <w:t xml:space="preserve">  </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管理机构在完成</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snapToGrid w:val="0"/>
          <w:kern w:val="0"/>
          <w:sz w:val="32"/>
          <w:szCs w:val="32"/>
        </w:rPr>
        <w:t>70%</w:t>
      </w:r>
      <w:r>
        <w:rPr>
          <w:rFonts w:ascii="仿宋_GB2312" w:eastAsia="仿宋_GB2312" w:hAnsi="仿宋" w:cs="仿宋" w:hint="eastAsia"/>
          <w:snapToGrid w:val="0"/>
          <w:kern w:val="0"/>
          <w:sz w:val="32"/>
          <w:szCs w:val="32"/>
        </w:rPr>
        <w:t>的资金投资进度之前，不得再次申请发起增资。</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第三十条</w:t>
      </w:r>
      <w:r>
        <w:rPr>
          <w:rFonts w:ascii="仿宋_GB2312" w:eastAsia="仿宋_GB2312" w:hAnsi="仿宋" w:cs="仿宋"/>
          <w:snapToGrid w:val="0"/>
          <w:kern w:val="0"/>
          <w:sz w:val="32"/>
          <w:szCs w:val="32"/>
        </w:rPr>
        <w:t xml:space="preserve">  </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基金以出资额为限对子基金和直接股权投资债务承担责任。</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lastRenderedPageBreak/>
        <w:t>第三十一条</w:t>
      </w:r>
      <w:r>
        <w:rPr>
          <w:rFonts w:ascii="仿宋_GB2312" w:eastAsia="仿宋_GB2312" w:hAnsi="仿宋" w:cs="仿宋"/>
          <w:snapToGrid w:val="0"/>
          <w:kern w:val="0"/>
          <w:sz w:val="32"/>
          <w:szCs w:val="32"/>
        </w:rPr>
        <w:t xml:space="preserve">  </w:t>
      </w:r>
      <w:r>
        <w:rPr>
          <w:rFonts w:ascii="仿宋_GB2312" w:eastAsia="仿宋_GB2312" w:hAnsi="仿宋" w:cs="仿宋" w:hint="eastAsia"/>
          <w:snapToGrid w:val="0"/>
          <w:kern w:val="0"/>
          <w:sz w:val="32"/>
          <w:szCs w:val="32"/>
        </w:rPr>
        <w:t>出现下列情况之一时，</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基金可选择退出，且无需经由其他出资人同意：</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（一）合作协议签署后超过</w:t>
      </w:r>
      <w:r>
        <w:rPr>
          <w:rFonts w:ascii="仿宋_GB2312" w:eastAsia="仿宋_GB2312" w:hAnsi="仿宋" w:cs="仿宋"/>
          <w:snapToGrid w:val="0"/>
          <w:kern w:val="0"/>
          <w:sz w:val="32"/>
          <w:szCs w:val="32"/>
        </w:rPr>
        <w:t>6</w:t>
      </w:r>
      <w:r>
        <w:rPr>
          <w:rFonts w:ascii="仿宋_GB2312" w:eastAsia="仿宋_GB2312" w:hAnsi="仿宋" w:cs="仿宋" w:hint="eastAsia"/>
          <w:snapToGrid w:val="0"/>
          <w:kern w:val="0"/>
          <w:sz w:val="32"/>
          <w:szCs w:val="32"/>
        </w:rPr>
        <w:t>个月子基金未完成备案登记手续的；</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（二）</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其他出资人未按协议约定出资且逾期超过</w:t>
      </w:r>
      <w:r>
        <w:rPr>
          <w:rFonts w:ascii="仿宋_GB2312" w:eastAsia="仿宋_GB2312" w:hAnsi="仿宋" w:cs="仿宋"/>
          <w:snapToGrid w:val="0"/>
          <w:kern w:val="0"/>
          <w:sz w:val="32"/>
          <w:szCs w:val="32"/>
        </w:rPr>
        <w:t>6</w:t>
      </w:r>
      <w:r>
        <w:rPr>
          <w:rFonts w:ascii="仿宋_GB2312" w:eastAsia="仿宋_GB2312" w:hAnsi="仿宋" w:cs="仿宋" w:hint="eastAsia"/>
          <w:snapToGrid w:val="0"/>
          <w:kern w:val="0"/>
          <w:sz w:val="32"/>
          <w:szCs w:val="32"/>
        </w:rPr>
        <w:t>个月的；</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（三）</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设立后超过</w:t>
      </w:r>
      <w:r>
        <w:rPr>
          <w:rFonts w:ascii="仿宋_GB2312" w:eastAsia="仿宋_GB2312" w:hAnsi="仿宋" w:cs="仿宋"/>
          <w:snapToGrid w:val="0"/>
          <w:kern w:val="0"/>
          <w:sz w:val="32"/>
          <w:szCs w:val="32"/>
        </w:rPr>
        <w:t>6</w:t>
      </w:r>
      <w:r>
        <w:rPr>
          <w:rFonts w:ascii="仿宋_GB2312" w:eastAsia="仿宋_GB2312" w:hAnsi="仿宋" w:cs="仿宋" w:hint="eastAsia"/>
          <w:snapToGrid w:val="0"/>
          <w:kern w:val="0"/>
          <w:sz w:val="32"/>
          <w:szCs w:val="32"/>
        </w:rPr>
        <w:t>个月未开展投资业务的；</w:t>
      </w:r>
    </w:p>
    <w:p w:rsidR="00E351DE" w:rsidRPr="003C4E85" w:rsidRDefault="00E351DE" w:rsidP="003C4E85">
      <w:pPr>
        <w:adjustRightInd w:val="0"/>
        <w:snapToGrid w:val="0"/>
        <w:spacing w:line="640" w:lineRule="exact"/>
        <w:ind w:firstLineChars="200" w:firstLine="640"/>
        <w:rPr>
          <w:rFonts w:ascii="仿宋_GB2312" w:eastAsia="仿宋_GB2312" w:hAnsi="仿宋" w:cs="仿宋"/>
          <w:snapToGrid w:val="0"/>
          <w:spacing w:val="-10"/>
          <w:kern w:val="0"/>
          <w:sz w:val="32"/>
          <w:szCs w:val="32"/>
        </w:rPr>
      </w:pPr>
      <w:r>
        <w:rPr>
          <w:rFonts w:ascii="仿宋_GB2312" w:eastAsia="仿宋_GB2312" w:hAnsi="仿宋" w:cs="仿宋" w:hint="eastAsia"/>
          <w:snapToGrid w:val="0"/>
          <w:kern w:val="0"/>
          <w:sz w:val="32"/>
          <w:szCs w:val="32"/>
        </w:rPr>
        <w:t>（四）</w:t>
      </w:r>
      <w:proofErr w:type="gramStart"/>
      <w:r w:rsidRPr="003C4E85">
        <w:rPr>
          <w:rFonts w:ascii="仿宋_GB2312" w:eastAsia="仿宋_GB2312" w:hAnsi="仿宋" w:cs="仿宋" w:hint="eastAsia"/>
          <w:snapToGrid w:val="0"/>
          <w:spacing w:val="-10"/>
          <w:kern w:val="0"/>
          <w:sz w:val="32"/>
          <w:szCs w:val="32"/>
        </w:rPr>
        <w:t>子基金</w:t>
      </w:r>
      <w:proofErr w:type="gramEnd"/>
      <w:r w:rsidRPr="003C4E85">
        <w:rPr>
          <w:rFonts w:ascii="仿宋_GB2312" w:eastAsia="仿宋_GB2312" w:hAnsi="仿宋" w:cs="仿宋" w:hint="eastAsia"/>
          <w:snapToGrid w:val="0"/>
          <w:spacing w:val="-10"/>
          <w:kern w:val="0"/>
          <w:sz w:val="32"/>
          <w:szCs w:val="32"/>
        </w:rPr>
        <w:t>设立后</w:t>
      </w:r>
      <w:r w:rsidRPr="003C4E85">
        <w:rPr>
          <w:rFonts w:ascii="仿宋_GB2312" w:eastAsia="仿宋_GB2312" w:hAnsi="仿宋" w:cs="仿宋"/>
          <w:snapToGrid w:val="0"/>
          <w:spacing w:val="-10"/>
          <w:kern w:val="0"/>
          <w:sz w:val="32"/>
          <w:szCs w:val="32"/>
        </w:rPr>
        <w:t>1</w:t>
      </w:r>
      <w:r w:rsidRPr="003C4E85">
        <w:rPr>
          <w:rFonts w:ascii="仿宋_GB2312" w:eastAsia="仿宋_GB2312" w:hAnsi="仿宋" w:cs="仿宋" w:hint="eastAsia"/>
          <w:snapToGrid w:val="0"/>
          <w:spacing w:val="-10"/>
          <w:kern w:val="0"/>
          <w:sz w:val="32"/>
          <w:szCs w:val="32"/>
        </w:rPr>
        <w:t>年内投资进度低于投资预期目标</w:t>
      </w:r>
      <w:r w:rsidRPr="003C4E85">
        <w:rPr>
          <w:rFonts w:ascii="仿宋_GB2312" w:eastAsia="仿宋_GB2312" w:hAnsi="仿宋" w:cs="仿宋"/>
          <w:snapToGrid w:val="0"/>
          <w:spacing w:val="-10"/>
          <w:kern w:val="0"/>
          <w:sz w:val="32"/>
          <w:szCs w:val="32"/>
        </w:rPr>
        <w:t>20%</w:t>
      </w:r>
      <w:r w:rsidRPr="003C4E85">
        <w:rPr>
          <w:rFonts w:ascii="仿宋_GB2312" w:eastAsia="仿宋_GB2312" w:hAnsi="仿宋" w:cs="仿宋" w:hint="eastAsia"/>
          <w:snapToGrid w:val="0"/>
          <w:spacing w:val="-10"/>
          <w:kern w:val="0"/>
          <w:sz w:val="32"/>
          <w:szCs w:val="32"/>
        </w:rPr>
        <w:t>的；</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（五）</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设立后</w:t>
      </w:r>
      <w:r>
        <w:rPr>
          <w:rFonts w:ascii="仿宋_GB2312" w:eastAsia="仿宋_GB2312" w:hAnsi="仿宋" w:cs="仿宋"/>
          <w:snapToGrid w:val="0"/>
          <w:kern w:val="0"/>
          <w:sz w:val="32"/>
          <w:szCs w:val="32"/>
        </w:rPr>
        <w:t>2</w:t>
      </w:r>
      <w:r>
        <w:rPr>
          <w:rFonts w:ascii="仿宋_GB2312" w:eastAsia="仿宋_GB2312" w:hAnsi="仿宋" w:cs="仿宋" w:hint="eastAsia"/>
          <w:snapToGrid w:val="0"/>
          <w:kern w:val="0"/>
          <w:sz w:val="32"/>
          <w:szCs w:val="32"/>
        </w:rPr>
        <w:t>年内投资额低于</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总规模</w:t>
      </w:r>
      <w:r>
        <w:rPr>
          <w:rFonts w:ascii="仿宋_GB2312" w:eastAsia="仿宋_GB2312" w:hAnsi="仿宋" w:cs="仿宋"/>
          <w:snapToGrid w:val="0"/>
          <w:kern w:val="0"/>
          <w:sz w:val="32"/>
          <w:szCs w:val="32"/>
        </w:rPr>
        <w:t>30%</w:t>
      </w:r>
      <w:r>
        <w:rPr>
          <w:rFonts w:ascii="仿宋_GB2312" w:eastAsia="仿宋_GB2312" w:hAnsi="仿宋" w:cs="仿宋" w:hint="eastAsia"/>
          <w:snapToGrid w:val="0"/>
          <w:kern w:val="0"/>
          <w:sz w:val="32"/>
          <w:szCs w:val="32"/>
        </w:rPr>
        <w:t>的，设立后在</w:t>
      </w:r>
      <w:r>
        <w:rPr>
          <w:rFonts w:ascii="仿宋_GB2312" w:eastAsia="仿宋_GB2312" w:hAnsi="仿宋" w:cs="仿宋"/>
          <w:snapToGrid w:val="0"/>
          <w:kern w:val="0"/>
          <w:sz w:val="32"/>
          <w:szCs w:val="32"/>
        </w:rPr>
        <w:t>4</w:t>
      </w:r>
      <w:r>
        <w:rPr>
          <w:rFonts w:ascii="仿宋_GB2312" w:eastAsia="仿宋_GB2312" w:hAnsi="仿宋" w:cs="仿宋" w:hint="eastAsia"/>
          <w:snapToGrid w:val="0"/>
          <w:kern w:val="0"/>
          <w:sz w:val="32"/>
          <w:szCs w:val="32"/>
        </w:rPr>
        <w:t>年内投资额低于</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总规模</w:t>
      </w:r>
      <w:r>
        <w:rPr>
          <w:rFonts w:ascii="仿宋_GB2312" w:eastAsia="仿宋_GB2312" w:hAnsi="仿宋" w:cs="仿宋"/>
          <w:snapToGrid w:val="0"/>
          <w:kern w:val="0"/>
          <w:sz w:val="32"/>
          <w:szCs w:val="32"/>
        </w:rPr>
        <w:t>60%</w:t>
      </w:r>
      <w:r>
        <w:rPr>
          <w:rFonts w:ascii="仿宋_GB2312" w:eastAsia="仿宋_GB2312" w:hAnsi="仿宋" w:cs="仿宋" w:hint="eastAsia"/>
          <w:snapToGrid w:val="0"/>
          <w:kern w:val="0"/>
          <w:sz w:val="32"/>
          <w:szCs w:val="32"/>
        </w:rPr>
        <w:t>的；</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（六）</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投资领域和方向不符合政策目标的；</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（七）</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管理机构发生实质性变化的；</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（八）基金未按章程约定投资的；</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（九）其他不符合章程约定情形的。</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第三十二条</w:t>
      </w:r>
      <w:r>
        <w:rPr>
          <w:rFonts w:ascii="仿宋_GB2312" w:eastAsia="仿宋_GB2312" w:hAnsi="仿宋" w:cs="仿宋"/>
          <w:snapToGrid w:val="0"/>
          <w:kern w:val="0"/>
          <w:sz w:val="32"/>
          <w:szCs w:val="32"/>
        </w:rPr>
        <w:t xml:space="preserve">  </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基金年度委托管理费（固定部分）与</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基金管理机构年度管理费原则上不超过基金年度实缴规模的</w:t>
      </w:r>
      <w:r>
        <w:rPr>
          <w:rFonts w:ascii="仿宋_GB2312" w:eastAsia="仿宋_GB2312" w:hAnsi="仿宋" w:cs="仿宋"/>
          <w:snapToGrid w:val="0"/>
          <w:kern w:val="0"/>
          <w:sz w:val="32"/>
          <w:szCs w:val="32"/>
        </w:rPr>
        <w:t>1%</w:t>
      </w:r>
      <w:r>
        <w:rPr>
          <w:rFonts w:ascii="仿宋_GB2312" w:eastAsia="仿宋_GB2312" w:hAnsi="仿宋" w:cs="仿宋" w:hint="eastAsia"/>
          <w:snapToGrid w:val="0"/>
          <w:kern w:val="0"/>
          <w:sz w:val="32"/>
          <w:szCs w:val="32"/>
        </w:rPr>
        <w:t>。并根据年度绩效评价情况给予</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基金受托</w:t>
      </w:r>
      <w:bookmarkStart w:id="1" w:name="_GoBack"/>
      <w:bookmarkEnd w:id="1"/>
      <w:r>
        <w:rPr>
          <w:rFonts w:ascii="仿宋_GB2312" w:eastAsia="仿宋_GB2312" w:hAnsi="仿宋" w:cs="仿宋" w:hint="eastAsia"/>
          <w:snapToGrid w:val="0"/>
          <w:kern w:val="0"/>
          <w:sz w:val="32"/>
          <w:szCs w:val="32"/>
        </w:rPr>
        <w:t>管理机构最高</w:t>
      </w:r>
      <w:r>
        <w:rPr>
          <w:rFonts w:ascii="仿宋_GB2312" w:eastAsia="仿宋_GB2312" w:hAnsi="仿宋" w:cs="仿宋"/>
          <w:snapToGrid w:val="0"/>
          <w:kern w:val="0"/>
          <w:sz w:val="32"/>
          <w:szCs w:val="32"/>
        </w:rPr>
        <w:t>100</w:t>
      </w:r>
      <w:r>
        <w:rPr>
          <w:rFonts w:ascii="仿宋_GB2312" w:eastAsia="仿宋_GB2312" w:hAnsi="仿宋" w:cs="仿宋" w:hint="eastAsia"/>
          <w:snapToGrid w:val="0"/>
          <w:kern w:val="0"/>
          <w:sz w:val="32"/>
          <w:szCs w:val="32"/>
        </w:rPr>
        <w:t>万元奖励。</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管理机构年度管理费原则上不得超过</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实缴规模的</w:t>
      </w:r>
      <w:r>
        <w:rPr>
          <w:rFonts w:ascii="仿宋_GB2312" w:eastAsia="仿宋_GB2312" w:hAnsi="仿宋" w:cs="仿宋"/>
          <w:snapToGrid w:val="0"/>
          <w:kern w:val="0"/>
          <w:sz w:val="32"/>
          <w:szCs w:val="32"/>
        </w:rPr>
        <w:t>2%</w:t>
      </w:r>
      <w:r>
        <w:rPr>
          <w:rFonts w:ascii="仿宋_GB2312" w:eastAsia="仿宋_GB2312" w:hAnsi="仿宋" w:cs="仿宋" w:hint="eastAsia"/>
          <w:snapToGrid w:val="0"/>
          <w:kern w:val="0"/>
          <w:sz w:val="32"/>
          <w:szCs w:val="32"/>
        </w:rPr>
        <w:t>，具体比例根据市场及行业惯例确定。</w:t>
      </w:r>
    </w:p>
    <w:p w:rsidR="00E351DE" w:rsidRDefault="00E351DE" w:rsidP="003C4E85">
      <w:pPr>
        <w:adjustRightInd w:val="0"/>
        <w:snapToGrid w:val="0"/>
        <w:spacing w:line="640" w:lineRule="exact"/>
        <w:jc w:val="center"/>
        <w:rPr>
          <w:rFonts w:ascii="黑体" w:eastAsia="黑体" w:hAnsi="黑体"/>
          <w:snapToGrid w:val="0"/>
          <w:kern w:val="0"/>
          <w:sz w:val="32"/>
          <w:szCs w:val="32"/>
        </w:rPr>
      </w:pPr>
      <w:r>
        <w:rPr>
          <w:rFonts w:ascii="黑体" w:eastAsia="黑体" w:hAnsi="黑体" w:hint="eastAsia"/>
          <w:snapToGrid w:val="0"/>
          <w:kern w:val="0"/>
          <w:sz w:val="32"/>
          <w:szCs w:val="32"/>
        </w:rPr>
        <w:lastRenderedPageBreak/>
        <w:t>第七章</w:t>
      </w:r>
      <w:r>
        <w:rPr>
          <w:rFonts w:ascii="黑体" w:eastAsia="黑体" w:hAnsi="黑体"/>
          <w:snapToGrid w:val="0"/>
          <w:kern w:val="0"/>
          <w:sz w:val="32"/>
          <w:szCs w:val="32"/>
        </w:rPr>
        <w:t xml:space="preserve">  </w:t>
      </w:r>
      <w:r>
        <w:rPr>
          <w:rFonts w:ascii="黑体" w:eastAsia="黑体" w:hAnsi="黑体" w:hint="eastAsia"/>
          <w:snapToGrid w:val="0"/>
          <w:kern w:val="0"/>
          <w:sz w:val="32"/>
          <w:szCs w:val="32"/>
        </w:rPr>
        <w:t>风险管控</w:t>
      </w:r>
    </w:p>
    <w:p w:rsidR="00E351DE" w:rsidRDefault="00E351DE" w:rsidP="003C4E85">
      <w:pPr>
        <w:adjustRightInd w:val="0"/>
        <w:snapToGrid w:val="0"/>
        <w:spacing w:line="640" w:lineRule="exact"/>
        <w:ind w:firstLineChars="200" w:firstLine="643"/>
        <w:rPr>
          <w:rFonts w:ascii="仿宋_GB2312" w:eastAsia="仿宋_GB2312" w:hAnsi="Times New Roman" w:cs="方正仿宋_GBK"/>
          <w:snapToGrid w:val="0"/>
          <w:kern w:val="0"/>
          <w:sz w:val="32"/>
          <w:szCs w:val="32"/>
        </w:rPr>
      </w:pPr>
      <w:r>
        <w:rPr>
          <w:rFonts w:ascii="楷体" w:eastAsia="楷体" w:hAnsi="楷体" w:cs="仿宋" w:hint="eastAsia"/>
          <w:b/>
          <w:snapToGrid w:val="0"/>
          <w:kern w:val="0"/>
          <w:sz w:val="32"/>
          <w:szCs w:val="32"/>
        </w:rPr>
        <w:t>第三十三条</w:t>
      </w:r>
      <w:r>
        <w:rPr>
          <w:rFonts w:ascii="楷体" w:eastAsia="楷体" w:hAnsi="楷体" w:cs="仿宋"/>
          <w:b/>
          <w:snapToGrid w:val="0"/>
          <w:kern w:val="0"/>
          <w:sz w:val="32"/>
          <w:szCs w:val="32"/>
        </w:rPr>
        <w:t xml:space="preserve"> </w:t>
      </w:r>
      <w:r>
        <w:rPr>
          <w:rFonts w:ascii="仿宋_GB2312" w:eastAsia="仿宋_GB2312" w:hAnsi="仿宋" w:cs="仿宋"/>
          <w:snapToGrid w:val="0"/>
          <w:kern w:val="0"/>
          <w:sz w:val="32"/>
          <w:szCs w:val="32"/>
        </w:rPr>
        <w:t xml:space="preserve"> </w:t>
      </w:r>
      <w:proofErr w:type="gramStart"/>
      <w:r>
        <w:rPr>
          <w:rFonts w:ascii="仿宋_GB2312" w:eastAsia="仿宋_GB2312" w:hAnsi="Times New Roman" w:cs="方正仿宋_GBK" w:hint="eastAsia"/>
          <w:snapToGrid w:val="0"/>
          <w:kern w:val="0"/>
          <w:sz w:val="32"/>
          <w:szCs w:val="32"/>
        </w:rPr>
        <w:t>省引导</w:t>
      </w:r>
      <w:proofErr w:type="gramEnd"/>
      <w:r>
        <w:rPr>
          <w:rFonts w:ascii="仿宋_GB2312" w:eastAsia="仿宋_GB2312" w:hAnsi="Times New Roman" w:cs="方正仿宋_GBK" w:hint="eastAsia"/>
          <w:snapToGrid w:val="0"/>
          <w:kern w:val="0"/>
          <w:sz w:val="32"/>
          <w:szCs w:val="32"/>
        </w:rPr>
        <w:t>基金与其他出资人同股同权，不分优先劣后，</w:t>
      </w:r>
      <w:proofErr w:type="gramStart"/>
      <w:r>
        <w:rPr>
          <w:rFonts w:ascii="仿宋_GB2312" w:eastAsia="仿宋_GB2312" w:hAnsi="Times New Roman" w:cs="方正仿宋_GBK" w:hint="eastAsia"/>
          <w:snapToGrid w:val="0"/>
          <w:kern w:val="0"/>
          <w:sz w:val="32"/>
          <w:szCs w:val="32"/>
        </w:rPr>
        <w:t>不得明股实</w:t>
      </w:r>
      <w:proofErr w:type="gramEnd"/>
      <w:r>
        <w:rPr>
          <w:rFonts w:ascii="仿宋_GB2312" w:eastAsia="仿宋_GB2312" w:hAnsi="Times New Roman" w:cs="方正仿宋_GBK" w:hint="eastAsia"/>
          <w:snapToGrid w:val="0"/>
          <w:kern w:val="0"/>
          <w:sz w:val="32"/>
          <w:szCs w:val="32"/>
        </w:rPr>
        <w:t>债。</w:t>
      </w:r>
      <w:proofErr w:type="gramStart"/>
      <w:r>
        <w:rPr>
          <w:rFonts w:ascii="仿宋_GB2312" w:eastAsia="仿宋_GB2312" w:hAnsi="Times New Roman" w:cs="方正仿宋_GBK" w:hint="eastAsia"/>
          <w:snapToGrid w:val="0"/>
          <w:kern w:val="0"/>
          <w:sz w:val="32"/>
          <w:szCs w:val="32"/>
        </w:rPr>
        <w:t>省引导</w:t>
      </w:r>
      <w:proofErr w:type="gramEnd"/>
      <w:r>
        <w:rPr>
          <w:rFonts w:ascii="仿宋_GB2312" w:eastAsia="仿宋_GB2312" w:hAnsi="Times New Roman" w:cs="方正仿宋_GBK" w:hint="eastAsia"/>
          <w:snapToGrid w:val="0"/>
          <w:kern w:val="0"/>
          <w:sz w:val="32"/>
          <w:szCs w:val="32"/>
        </w:rPr>
        <w:t>基金管理机构应遵照国家有关财政预算和财务管理制度等规定，建立健全内部控制和外部监管制度，建立投资决策和风险约束机制，切实防范基金运作过程中可能出现的风险。</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第三十四条</w:t>
      </w:r>
      <w:r>
        <w:rPr>
          <w:rFonts w:ascii="仿宋_GB2312" w:eastAsia="仿宋_GB2312" w:hAnsi="仿宋" w:cs="仿宋"/>
          <w:snapToGrid w:val="0"/>
          <w:kern w:val="0"/>
          <w:sz w:val="32"/>
          <w:szCs w:val="32"/>
        </w:rPr>
        <w:t xml:space="preserve">  </w:t>
      </w:r>
      <w:r>
        <w:rPr>
          <w:rFonts w:ascii="仿宋_GB2312" w:eastAsia="仿宋_GB2312" w:hAnsi="仿宋" w:cs="仿宋" w:hint="eastAsia"/>
          <w:snapToGrid w:val="0"/>
          <w:kern w:val="0"/>
          <w:sz w:val="32"/>
          <w:szCs w:val="32"/>
        </w:rPr>
        <w:t>建立资金托管制度。</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基金和</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应在省科技主管部门公开招标确定的银行或国家科技成果转化基金招标确定的银行中选择一家银行作为基金托管银行，开设托管账户，存放资金。托管银行负责托管</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资产，按照托管协议和投资指令负责</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的资金往来，定期向</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基金管理机构报告资金情况。</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基金管理机构负责对托管银行履行职责情况进行考核。</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存续期内产生的股权转让、分红、清算等资金应进入托管账户，不得循环投资。</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第三十五条</w:t>
      </w:r>
      <w:r>
        <w:rPr>
          <w:rFonts w:ascii="仿宋_GB2312" w:eastAsia="仿宋_GB2312" w:hAnsi="仿宋" w:cs="仿宋"/>
          <w:snapToGrid w:val="0"/>
          <w:kern w:val="0"/>
          <w:sz w:val="32"/>
          <w:szCs w:val="32"/>
        </w:rPr>
        <w:t xml:space="preserve">  </w:t>
      </w:r>
      <w:r>
        <w:rPr>
          <w:rFonts w:ascii="仿宋_GB2312" w:eastAsia="仿宋_GB2312" w:hAnsi="仿宋" w:cs="仿宋" w:hint="eastAsia"/>
          <w:snapToGrid w:val="0"/>
          <w:kern w:val="0"/>
          <w:sz w:val="32"/>
          <w:szCs w:val="32"/>
        </w:rPr>
        <w:t>建立风险容忍机制。</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基金投资损失率原则上不超过投资的</w:t>
      </w:r>
      <w:r>
        <w:rPr>
          <w:rFonts w:ascii="仿宋_GB2312" w:eastAsia="仿宋_GB2312" w:hAnsi="仿宋" w:cs="仿宋"/>
          <w:snapToGrid w:val="0"/>
          <w:kern w:val="0"/>
          <w:sz w:val="32"/>
          <w:szCs w:val="32"/>
        </w:rPr>
        <w:t>40%</w:t>
      </w:r>
      <w:r>
        <w:rPr>
          <w:rFonts w:ascii="仿宋_GB2312" w:eastAsia="仿宋_GB2312" w:hAnsi="仿宋" w:cs="仿宋" w:hint="eastAsia"/>
          <w:snapToGrid w:val="0"/>
          <w:kern w:val="0"/>
          <w:sz w:val="32"/>
          <w:szCs w:val="32"/>
        </w:rPr>
        <w:t>。对投资项目数和资金损失率均超过</w:t>
      </w:r>
      <w:r>
        <w:rPr>
          <w:rFonts w:ascii="仿宋_GB2312" w:eastAsia="仿宋_GB2312" w:hAnsi="仿宋" w:cs="仿宋"/>
          <w:snapToGrid w:val="0"/>
          <w:kern w:val="0"/>
          <w:sz w:val="32"/>
          <w:szCs w:val="32"/>
        </w:rPr>
        <w:t>40%</w:t>
      </w:r>
      <w:r>
        <w:rPr>
          <w:rFonts w:ascii="仿宋_GB2312" w:eastAsia="仿宋_GB2312" w:hAnsi="仿宋" w:cs="仿宋" w:hint="eastAsia"/>
          <w:snapToGrid w:val="0"/>
          <w:kern w:val="0"/>
          <w:sz w:val="32"/>
          <w:szCs w:val="32"/>
        </w:rPr>
        <w:t>的，由省科技厅、省财政厅约谈，核实投资行为合法合</w:t>
      </w:r>
      <w:proofErr w:type="gramStart"/>
      <w:r>
        <w:rPr>
          <w:rFonts w:ascii="仿宋_GB2312" w:eastAsia="仿宋_GB2312" w:hAnsi="仿宋" w:cs="仿宋" w:hint="eastAsia"/>
          <w:snapToGrid w:val="0"/>
          <w:kern w:val="0"/>
          <w:sz w:val="32"/>
          <w:szCs w:val="32"/>
        </w:rPr>
        <w:t>规</w:t>
      </w:r>
      <w:proofErr w:type="gramEnd"/>
      <w:r>
        <w:rPr>
          <w:rFonts w:ascii="仿宋_GB2312" w:eastAsia="仿宋_GB2312" w:hAnsi="仿宋" w:cs="仿宋" w:hint="eastAsia"/>
          <w:snapToGrid w:val="0"/>
          <w:kern w:val="0"/>
          <w:sz w:val="32"/>
          <w:szCs w:val="32"/>
        </w:rPr>
        <w:t>情况，必要时可重新组建基金专家咨询委员会、调整基金管理机构，对存在违法违规违纪行为的，移交有关部门查处。</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lastRenderedPageBreak/>
        <w:t>按照鼓励创新、宽容失败、尽职免责的原则，</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基金运营管理虽未实现预期目标，但有关单位和个人认真履行职责，未牟取私利且无重大过失的，不追究相关单位和个人的责任。</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第三十六条</w:t>
      </w:r>
      <w:r>
        <w:rPr>
          <w:rFonts w:ascii="楷体" w:eastAsia="楷体" w:hAnsi="楷体" w:cs="仿宋"/>
          <w:b/>
          <w:snapToGrid w:val="0"/>
          <w:kern w:val="0"/>
          <w:sz w:val="32"/>
          <w:szCs w:val="32"/>
        </w:rPr>
        <w:t xml:space="preserve"> </w:t>
      </w:r>
      <w:r>
        <w:rPr>
          <w:rFonts w:ascii="仿宋_GB2312" w:eastAsia="仿宋_GB2312" w:hAnsi="仿宋" w:cs="仿宋"/>
          <w:snapToGrid w:val="0"/>
          <w:kern w:val="0"/>
          <w:sz w:val="32"/>
          <w:szCs w:val="32"/>
        </w:rPr>
        <w:t xml:space="preserve"> </w:t>
      </w:r>
      <w:r>
        <w:rPr>
          <w:rFonts w:ascii="仿宋_GB2312" w:eastAsia="仿宋_GB2312" w:hAnsi="仿宋" w:cs="仿宋" w:hint="eastAsia"/>
          <w:snapToGrid w:val="0"/>
          <w:kern w:val="0"/>
          <w:sz w:val="32"/>
          <w:szCs w:val="32"/>
        </w:rPr>
        <w:t>建立定期报告制度。省</w:t>
      </w:r>
      <w:proofErr w:type="gramStart"/>
      <w:r>
        <w:rPr>
          <w:rFonts w:ascii="仿宋_GB2312" w:eastAsia="仿宋_GB2312" w:hAnsi="仿宋" w:cs="仿宋" w:hint="eastAsia"/>
          <w:snapToGrid w:val="0"/>
          <w:kern w:val="0"/>
          <w:sz w:val="32"/>
          <w:szCs w:val="32"/>
        </w:rPr>
        <w:t>国控集团</w:t>
      </w:r>
      <w:proofErr w:type="gramEnd"/>
      <w:r>
        <w:rPr>
          <w:rFonts w:ascii="仿宋_GB2312" w:eastAsia="仿宋_GB2312" w:hAnsi="仿宋" w:cs="仿宋" w:hint="eastAsia"/>
          <w:snapToGrid w:val="0"/>
          <w:kern w:val="0"/>
          <w:sz w:val="32"/>
          <w:szCs w:val="32"/>
        </w:rPr>
        <w:t>每季度向省财政厅、省科技厅报送</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基金运行情况、资产负债情况、投资损益情况及其他可能影响投资者权益的重大情况，以及资产负债表、损益表及现金流量表等报表。</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管理机构每季度向</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基金管理机构提交运行报告和会计报表，并于每个会计年度结束后</w:t>
      </w:r>
      <w:r>
        <w:rPr>
          <w:rFonts w:ascii="仿宋_GB2312" w:eastAsia="仿宋_GB2312" w:hAnsi="仿宋" w:cs="仿宋"/>
          <w:snapToGrid w:val="0"/>
          <w:kern w:val="0"/>
          <w:sz w:val="32"/>
          <w:szCs w:val="32"/>
        </w:rPr>
        <w:t>4</w:t>
      </w:r>
      <w:r>
        <w:rPr>
          <w:rFonts w:ascii="仿宋_GB2312" w:eastAsia="仿宋_GB2312" w:hAnsi="仿宋" w:cs="仿宋" w:hint="eastAsia"/>
          <w:snapToGrid w:val="0"/>
          <w:kern w:val="0"/>
          <w:sz w:val="32"/>
          <w:szCs w:val="32"/>
        </w:rPr>
        <w:t>个月内向</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基金管理机构提交年度运行情况报告和经审计的年度会计报告。</w:t>
      </w:r>
    </w:p>
    <w:p w:rsidR="00E351DE" w:rsidRDefault="00E351DE" w:rsidP="003C4E85">
      <w:pPr>
        <w:adjustRightInd w:val="0"/>
        <w:snapToGrid w:val="0"/>
        <w:spacing w:line="640" w:lineRule="exact"/>
        <w:jc w:val="center"/>
        <w:rPr>
          <w:rFonts w:ascii="黑体" w:eastAsia="黑体" w:hAnsi="黑体"/>
          <w:snapToGrid w:val="0"/>
          <w:kern w:val="0"/>
          <w:sz w:val="32"/>
          <w:szCs w:val="32"/>
        </w:rPr>
      </w:pPr>
      <w:r>
        <w:rPr>
          <w:rFonts w:ascii="黑体" w:eastAsia="黑体" w:hAnsi="黑体" w:hint="eastAsia"/>
          <w:snapToGrid w:val="0"/>
          <w:kern w:val="0"/>
          <w:sz w:val="32"/>
          <w:szCs w:val="32"/>
        </w:rPr>
        <w:t>第八章</w:t>
      </w:r>
      <w:r>
        <w:rPr>
          <w:rFonts w:ascii="黑体" w:eastAsia="黑体" w:hAnsi="黑体"/>
          <w:snapToGrid w:val="0"/>
          <w:kern w:val="0"/>
          <w:sz w:val="32"/>
          <w:szCs w:val="32"/>
        </w:rPr>
        <w:t xml:space="preserve">  </w:t>
      </w:r>
      <w:r>
        <w:rPr>
          <w:rFonts w:ascii="黑体" w:eastAsia="黑体" w:hAnsi="黑体" w:hint="eastAsia"/>
          <w:snapToGrid w:val="0"/>
          <w:kern w:val="0"/>
          <w:sz w:val="32"/>
          <w:szCs w:val="32"/>
        </w:rPr>
        <w:t>投资退出</w:t>
      </w:r>
    </w:p>
    <w:p w:rsidR="00E351DE" w:rsidRPr="003C4E85" w:rsidRDefault="00E351DE" w:rsidP="003C4E85">
      <w:pPr>
        <w:adjustRightInd w:val="0"/>
        <w:snapToGrid w:val="0"/>
        <w:spacing w:line="640" w:lineRule="exact"/>
        <w:ind w:firstLineChars="200" w:firstLine="643"/>
        <w:rPr>
          <w:rFonts w:ascii="仿宋_GB2312" w:eastAsia="仿宋_GB2312" w:hAnsi="仿宋" w:cs="仿宋"/>
          <w:snapToGrid w:val="0"/>
          <w:spacing w:val="-10"/>
          <w:kern w:val="0"/>
          <w:sz w:val="32"/>
          <w:szCs w:val="32"/>
        </w:rPr>
      </w:pPr>
      <w:r>
        <w:rPr>
          <w:rFonts w:ascii="楷体" w:eastAsia="楷体" w:hAnsi="楷体" w:cs="仿宋" w:hint="eastAsia"/>
          <w:b/>
          <w:snapToGrid w:val="0"/>
          <w:kern w:val="0"/>
          <w:sz w:val="32"/>
          <w:szCs w:val="32"/>
        </w:rPr>
        <w:t>第三十七条</w:t>
      </w:r>
      <w:r>
        <w:rPr>
          <w:rFonts w:ascii="仿宋_GB2312" w:eastAsia="仿宋_GB2312" w:hAnsi="仿宋" w:cs="仿宋"/>
          <w:snapToGrid w:val="0"/>
          <w:kern w:val="0"/>
          <w:sz w:val="32"/>
          <w:szCs w:val="32"/>
        </w:rPr>
        <w:t xml:space="preserve">  </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通过基金份额转让或股权转让、清算等方式实现退出。直接股权投资通过被投企业首次公开发行股票并上市、借壳上市、新三板挂牌以及控股股东、实际控制人</w:t>
      </w:r>
      <w:r w:rsidRPr="003C4E85">
        <w:rPr>
          <w:rFonts w:ascii="仿宋_GB2312" w:eastAsia="仿宋_GB2312" w:hAnsi="仿宋" w:cs="仿宋" w:hint="eastAsia"/>
          <w:snapToGrid w:val="0"/>
          <w:spacing w:val="-10"/>
          <w:kern w:val="0"/>
          <w:sz w:val="32"/>
          <w:szCs w:val="32"/>
        </w:rPr>
        <w:t>回购或第三方收购、股权置换、诉诸于司法途径等方式实现退出。</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第三十八条</w:t>
      </w:r>
      <w:r>
        <w:rPr>
          <w:rFonts w:ascii="仿宋_GB2312" w:eastAsia="仿宋_GB2312" w:hAnsi="仿宋" w:cs="仿宋"/>
          <w:snapToGrid w:val="0"/>
          <w:kern w:val="0"/>
          <w:sz w:val="32"/>
          <w:szCs w:val="32"/>
        </w:rPr>
        <w:t xml:space="preserve">  </w:t>
      </w:r>
      <w:r>
        <w:rPr>
          <w:rFonts w:ascii="仿宋_GB2312" w:eastAsia="仿宋_GB2312" w:hAnsi="仿宋" w:cs="仿宋" w:hint="eastAsia"/>
          <w:snapToGrid w:val="0"/>
          <w:kern w:val="0"/>
          <w:sz w:val="32"/>
          <w:szCs w:val="32"/>
        </w:rPr>
        <w:t>鼓励</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其他股东和直接股权投资被投企业以及其他投资者</w:t>
      </w:r>
      <w:proofErr w:type="gramStart"/>
      <w:r>
        <w:rPr>
          <w:rFonts w:ascii="仿宋_GB2312" w:eastAsia="仿宋_GB2312" w:hAnsi="仿宋" w:cs="仿宋" w:hint="eastAsia"/>
          <w:snapToGrid w:val="0"/>
          <w:kern w:val="0"/>
          <w:sz w:val="32"/>
          <w:szCs w:val="32"/>
        </w:rPr>
        <w:t>购买省引导</w:t>
      </w:r>
      <w:proofErr w:type="gramEnd"/>
      <w:r>
        <w:rPr>
          <w:rFonts w:ascii="仿宋_GB2312" w:eastAsia="仿宋_GB2312" w:hAnsi="仿宋" w:cs="仿宋" w:hint="eastAsia"/>
          <w:snapToGrid w:val="0"/>
          <w:kern w:val="0"/>
          <w:sz w:val="32"/>
          <w:szCs w:val="32"/>
        </w:rPr>
        <w:t>基金出资份额，同等条件下，</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其他股东和被投企业股东具有优先购买权。在</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设立或直接股权投资后</w:t>
      </w:r>
      <w:r>
        <w:rPr>
          <w:rFonts w:ascii="仿宋_GB2312" w:eastAsia="仿宋_GB2312" w:hAnsi="仿宋" w:cs="仿宋"/>
          <w:snapToGrid w:val="0"/>
          <w:kern w:val="0"/>
          <w:sz w:val="32"/>
          <w:szCs w:val="32"/>
        </w:rPr>
        <w:t>3</w:t>
      </w:r>
      <w:r>
        <w:rPr>
          <w:rFonts w:ascii="仿宋_GB2312" w:eastAsia="仿宋_GB2312" w:hAnsi="仿宋" w:cs="仿宋" w:hint="eastAsia"/>
          <w:snapToGrid w:val="0"/>
          <w:kern w:val="0"/>
          <w:sz w:val="32"/>
          <w:szCs w:val="32"/>
        </w:rPr>
        <w:t>年内（含</w:t>
      </w:r>
      <w:r>
        <w:rPr>
          <w:rFonts w:ascii="仿宋_GB2312" w:eastAsia="仿宋_GB2312" w:hAnsi="仿宋" w:cs="仿宋"/>
          <w:snapToGrid w:val="0"/>
          <w:kern w:val="0"/>
          <w:sz w:val="32"/>
          <w:szCs w:val="32"/>
        </w:rPr>
        <w:t>3</w:t>
      </w:r>
      <w:r>
        <w:rPr>
          <w:rFonts w:ascii="仿宋_GB2312" w:eastAsia="仿宋_GB2312" w:hAnsi="仿宋" w:cs="仿宋" w:hint="eastAsia"/>
          <w:snapToGrid w:val="0"/>
          <w:kern w:val="0"/>
          <w:sz w:val="32"/>
          <w:szCs w:val="32"/>
        </w:rPr>
        <w:t>年）购买的，</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基金出资</w:t>
      </w:r>
      <w:r>
        <w:rPr>
          <w:rFonts w:ascii="仿宋_GB2312" w:eastAsia="仿宋_GB2312" w:hAnsi="仿宋" w:cs="仿宋" w:hint="eastAsia"/>
          <w:snapToGrid w:val="0"/>
          <w:kern w:val="0"/>
          <w:sz w:val="32"/>
          <w:szCs w:val="32"/>
        </w:rPr>
        <w:lastRenderedPageBreak/>
        <w:t>部分以原始出资额转让；在</w:t>
      </w:r>
      <w:r>
        <w:rPr>
          <w:rFonts w:ascii="仿宋_GB2312" w:eastAsia="仿宋_GB2312" w:hAnsi="仿宋" w:cs="仿宋"/>
          <w:snapToGrid w:val="0"/>
          <w:kern w:val="0"/>
          <w:sz w:val="32"/>
          <w:szCs w:val="32"/>
        </w:rPr>
        <w:t>3</w:t>
      </w:r>
      <w:r>
        <w:rPr>
          <w:rFonts w:ascii="仿宋_GB2312" w:eastAsia="仿宋_GB2312" w:hAnsi="仿宋" w:cs="仿宋" w:hint="eastAsia"/>
          <w:snapToGrid w:val="0"/>
          <w:kern w:val="0"/>
          <w:sz w:val="32"/>
          <w:szCs w:val="32"/>
        </w:rPr>
        <w:t>年至</w:t>
      </w:r>
      <w:r>
        <w:rPr>
          <w:rFonts w:ascii="仿宋_GB2312" w:eastAsia="仿宋_GB2312" w:hAnsi="仿宋" w:cs="仿宋"/>
          <w:snapToGrid w:val="0"/>
          <w:kern w:val="0"/>
          <w:sz w:val="32"/>
          <w:szCs w:val="32"/>
        </w:rPr>
        <w:t>5</w:t>
      </w:r>
      <w:r>
        <w:rPr>
          <w:rFonts w:ascii="仿宋_GB2312" w:eastAsia="仿宋_GB2312" w:hAnsi="仿宋" w:cs="仿宋" w:hint="eastAsia"/>
          <w:snapToGrid w:val="0"/>
          <w:kern w:val="0"/>
          <w:sz w:val="32"/>
          <w:szCs w:val="32"/>
        </w:rPr>
        <w:t>年内（含</w:t>
      </w:r>
      <w:r>
        <w:rPr>
          <w:rFonts w:ascii="仿宋_GB2312" w:eastAsia="仿宋_GB2312" w:hAnsi="仿宋" w:cs="仿宋"/>
          <w:snapToGrid w:val="0"/>
          <w:kern w:val="0"/>
          <w:sz w:val="32"/>
          <w:szCs w:val="32"/>
        </w:rPr>
        <w:t>5</w:t>
      </w:r>
      <w:r>
        <w:rPr>
          <w:rFonts w:ascii="仿宋_GB2312" w:eastAsia="仿宋_GB2312" w:hAnsi="仿宋" w:cs="仿宋" w:hint="eastAsia"/>
          <w:snapToGrid w:val="0"/>
          <w:kern w:val="0"/>
          <w:sz w:val="32"/>
          <w:szCs w:val="32"/>
        </w:rPr>
        <w:t>年）购买的，以</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基金原始出资额及从子基金成立或直接股权投资之日起按照转让时中国人民银行公布的</w:t>
      </w:r>
      <w:r>
        <w:rPr>
          <w:rFonts w:ascii="仿宋_GB2312" w:eastAsia="仿宋_GB2312" w:hAnsi="仿宋" w:cs="仿宋"/>
          <w:snapToGrid w:val="0"/>
          <w:kern w:val="0"/>
          <w:sz w:val="32"/>
          <w:szCs w:val="32"/>
        </w:rPr>
        <w:t>1</w:t>
      </w:r>
      <w:r>
        <w:rPr>
          <w:rFonts w:ascii="仿宋_GB2312" w:eastAsia="仿宋_GB2312" w:hAnsi="仿宋" w:cs="仿宋" w:hint="eastAsia"/>
          <w:snapToGrid w:val="0"/>
          <w:kern w:val="0"/>
          <w:sz w:val="32"/>
          <w:szCs w:val="32"/>
        </w:rPr>
        <w:t>年</w:t>
      </w:r>
      <w:proofErr w:type="gramStart"/>
      <w:r>
        <w:rPr>
          <w:rFonts w:ascii="仿宋_GB2312" w:eastAsia="仿宋_GB2312" w:hAnsi="仿宋" w:cs="仿宋" w:hint="eastAsia"/>
          <w:snapToGrid w:val="0"/>
          <w:kern w:val="0"/>
          <w:sz w:val="32"/>
          <w:szCs w:val="32"/>
        </w:rPr>
        <w:t>期贷</w:t>
      </w:r>
      <w:proofErr w:type="gramEnd"/>
      <w:r>
        <w:rPr>
          <w:rFonts w:ascii="仿宋_GB2312" w:eastAsia="仿宋_GB2312" w:hAnsi="仿宋" w:cs="仿宋" w:hint="eastAsia"/>
          <w:snapToGrid w:val="0"/>
          <w:kern w:val="0"/>
          <w:sz w:val="32"/>
          <w:szCs w:val="32"/>
        </w:rPr>
        <w:t>款基准利率计算的利息之和转让（不足半年的，按半年计算；超过半年不足</w:t>
      </w:r>
      <w:r>
        <w:rPr>
          <w:rFonts w:ascii="仿宋_GB2312" w:eastAsia="仿宋_GB2312" w:hAnsi="仿宋" w:cs="仿宋"/>
          <w:snapToGrid w:val="0"/>
          <w:kern w:val="0"/>
          <w:sz w:val="32"/>
          <w:szCs w:val="32"/>
        </w:rPr>
        <w:t>1</w:t>
      </w:r>
      <w:r>
        <w:rPr>
          <w:rFonts w:ascii="仿宋_GB2312" w:eastAsia="仿宋_GB2312" w:hAnsi="仿宋" w:cs="仿宋" w:hint="eastAsia"/>
          <w:snapToGrid w:val="0"/>
          <w:kern w:val="0"/>
          <w:sz w:val="32"/>
          <w:szCs w:val="32"/>
        </w:rPr>
        <w:t>年的，按</w:t>
      </w:r>
      <w:r>
        <w:rPr>
          <w:rFonts w:ascii="仿宋_GB2312" w:eastAsia="仿宋_GB2312" w:hAnsi="仿宋" w:cs="仿宋"/>
          <w:snapToGrid w:val="0"/>
          <w:kern w:val="0"/>
          <w:sz w:val="32"/>
          <w:szCs w:val="32"/>
        </w:rPr>
        <w:t>1</w:t>
      </w:r>
      <w:r>
        <w:rPr>
          <w:rFonts w:ascii="仿宋_GB2312" w:eastAsia="仿宋_GB2312" w:hAnsi="仿宋" w:cs="仿宋" w:hint="eastAsia"/>
          <w:snapToGrid w:val="0"/>
          <w:kern w:val="0"/>
          <w:sz w:val="32"/>
          <w:szCs w:val="32"/>
        </w:rPr>
        <w:t>年计算）；</w:t>
      </w:r>
      <w:r>
        <w:rPr>
          <w:rFonts w:ascii="仿宋_GB2312" w:eastAsia="仿宋_GB2312" w:hAnsi="仿宋" w:cs="仿宋"/>
          <w:snapToGrid w:val="0"/>
          <w:kern w:val="0"/>
          <w:sz w:val="32"/>
          <w:szCs w:val="32"/>
        </w:rPr>
        <w:t>5</w:t>
      </w:r>
      <w:r>
        <w:rPr>
          <w:rFonts w:ascii="仿宋_GB2312" w:eastAsia="仿宋_GB2312" w:hAnsi="仿宋" w:cs="仿宋" w:hint="eastAsia"/>
          <w:snapToGrid w:val="0"/>
          <w:kern w:val="0"/>
          <w:sz w:val="32"/>
          <w:szCs w:val="32"/>
        </w:rPr>
        <w:t>年以上仍未退出的，</w:t>
      </w:r>
      <w:proofErr w:type="gramStart"/>
      <w:r>
        <w:rPr>
          <w:rFonts w:ascii="仿宋_GB2312" w:eastAsia="仿宋_GB2312" w:hAnsi="仿宋" w:cs="仿宋" w:hint="eastAsia"/>
          <w:snapToGrid w:val="0"/>
          <w:kern w:val="0"/>
          <w:sz w:val="32"/>
          <w:szCs w:val="32"/>
        </w:rPr>
        <w:t>子基金中省引导</w:t>
      </w:r>
      <w:proofErr w:type="gramEnd"/>
      <w:r>
        <w:rPr>
          <w:rFonts w:ascii="仿宋_GB2312" w:eastAsia="仿宋_GB2312" w:hAnsi="仿宋" w:cs="仿宋" w:hint="eastAsia"/>
          <w:snapToGrid w:val="0"/>
          <w:kern w:val="0"/>
          <w:sz w:val="32"/>
          <w:szCs w:val="32"/>
        </w:rPr>
        <w:t>基金出资部分将与其他出资人同股同权在存续期满后清算退出，直接股权投资中</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基金出资部分按照政府投资基金有关规定适时退出。对于增资设立的子基金，上述年限从子基金完成变更登记手续之日起计算。</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第三十九条</w:t>
      </w:r>
      <w:r>
        <w:rPr>
          <w:rFonts w:ascii="仿宋_GB2312" w:eastAsia="仿宋_GB2312" w:hAnsi="仿宋" w:cs="仿宋"/>
          <w:snapToGrid w:val="0"/>
          <w:kern w:val="0"/>
          <w:sz w:val="32"/>
          <w:szCs w:val="32"/>
        </w:rPr>
        <w:t xml:space="preserve">  </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清算完毕后，</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基金在</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中出资额年平均收益率超出</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出资时中国人民银行公布的</w:t>
      </w:r>
      <w:r>
        <w:rPr>
          <w:rFonts w:ascii="仿宋_GB2312" w:eastAsia="仿宋_GB2312" w:hAnsi="仿宋" w:cs="仿宋"/>
          <w:snapToGrid w:val="0"/>
          <w:kern w:val="0"/>
          <w:sz w:val="32"/>
          <w:szCs w:val="32"/>
        </w:rPr>
        <w:t>1</w:t>
      </w:r>
      <w:r>
        <w:rPr>
          <w:rFonts w:ascii="仿宋_GB2312" w:eastAsia="仿宋_GB2312" w:hAnsi="仿宋" w:cs="仿宋" w:hint="eastAsia"/>
          <w:snapToGrid w:val="0"/>
          <w:kern w:val="0"/>
          <w:sz w:val="32"/>
          <w:szCs w:val="32"/>
        </w:rPr>
        <w:t>年</w:t>
      </w:r>
      <w:proofErr w:type="gramStart"/>
      <w:r>
        <w:rPr>
          <w:rFonts w:ascii="仿宋_GB2312" w:eastAsia="仿宋_GB2312" w:hAnsi="仿宋" w:cs="仿宋" w:hint="eastAsia"/>
          <w:snapToGrid w:val="0"/>
          <w:kern w:val="0"/>
          <w:sz w:val="32"/>
          <w:szCs w:val="32"/>
        </w:rPr>
        <w:t>期贷</w:t>
      </w:r>
      <w:proofErr w:type="gramEnd"/>
      <w:r>
        <w:rPr>
          <w:rFonts w:ascii="仿宋_GB2312" w:eastAsia="仿宋_GB2312" w:hAnsi="仿宋" w:cs="仿宋" w:hint="eastAsia"/>
          <w:snapToGrid w:val="0"/>
          <w:kern w:val="0"/>
          <w:sz w:val="32"/>
          <w:szCs w:val="32"/>
        </w:rPr>
        <w:t>款基准利率的，将其收益超出基准利率部分的</w:t>
      </w:r>
      <w:r>
        <w:rPr>
          <w:rFonts w:ascii="仿宋_GB2312" w:eastAsia="仿宋_GB2312" w:hAnsi="仿宋" w:cs="仿宋"/>
          <w:snapToGrid w:val="0"/>
          <w:kern w:val="0"/>
          <w:sz w:val="32"/>
          <w:szCs w:val="32"/>
        </w:rPr>
        <w:t>10%</w:t>
      </w:r>
      <w:r>
        <w:rPr>
          <w:rFonts w:ascii="仿宋_GB2312" w:eastAsia="仿宋_GB2312" w:hAnsi="仿宋" w:cs="仿宋" w:hint="eastAsia"/>
          <w:snapToGrid w:val="0"/>
          <w:kern w:val="0"/>
          <w:sz w:val="32"/>
          <w:szCs w:val="32"/>
        </w:rPr>
        <w:t>奖励给</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基金管理机构、</w:t>
      </w:r>
      <w:r>
        <w:rPr>
          <w:rFonts w:ascii="仿宋_GB2312" w:eastAsia="仿宋_GB2312" w:hAnsi="仿宋" w:cs="仿宋"/>
          <w:snapToGrid w:val="0"/>
          <w:kern w:val="0"/>
          <w:sz w:val="32"/>
          <w:szCs w:val="32"/>
        </w:rPr>
        <w:t>20%</w:t>
      </w:r>
      <w:r>
        <w:rPr>
          <w:rFonts w:ascii="仿宋_GB2312" w:eastAsia="仿宋_GB2312" w:hAnsi="仿宋" w:cs="仿宋" w:hint="eastAsia"/>
          <w:snapToGrid w:val="0"/>
          <w:kern w:val="0"/>
          <w:sz w:val="32"/>
          <w:szCs w:val="32"/>
        </w:rPr>
        <w:t>奖励给</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管理机构、</w:t>
      </w:r>
      <w:r>
        <w:rPr>
          <w:rFonts w:ascii="仿宋_GB2312" w:eastAsia="仿宋_GB2312" w:hAnsi="仿宋" w:cs="仿宋"/>
          <w:snapToGrid w:val="0"/>
          <w:kern w:val="0"/>
          <w:sz w:val="32"/>
          <w:szCs w:val="32"/>
        </w:rPr>
        <w:t>20%</w:t>
      </w:r>
      <w:r>
        <w:rPr>
          <w:rFonts w:ascii="仿宋_GB2312" w:eastAsia="仿宋_GB2312" w:hAnsi="仿宋" w:cs="仿宋" w:hint="eastAsia"/>
          <w:snapToGrid w:val="0"/>
          <w:kern w:val="0"/>
          <w:sz w:val="32"/>
          <w:szCs w:val="32"/>
        </w:rPr>
        <w:t>奖励给被投企业，其余</w:t>
      </w:r>
      <w:r>
        <w:rPr>
          <w:rFonts w:ascii="仿宋_GB2312" w:eastAsia="仿宋_GB2312" w:hAnsi="仿宋" w:cs="仿宋"/>
          <w:snapToGrid w:val="0"/>
          <w:kern w:val="0"/>
          <w:sz w:val="32"/>
          <w:szCs w:val="32"/>
        </w:rPr>
        <w:t>50%</w:t>
      </w:r>
      <w:r>
        <w:rPr>
          <w:rFonts w:ascii="仿宋_GB2312" w:eastAsia="仿宋_GB2312" w:hAnsi="仿宋" w:cs="仿宋" w:hint="eastAsia"/>
          <w:snapToGrid w:val="0"/>
          <w:kern w:val="0"/>
          <w:sz w:val="32"/>
          <w:szCs w:val="32"/>
        </w:rPr>
        <w:t>作为</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基金收益。</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基金直接股权投资退出后，其出资额年平均收益率超出投资时中国人民银行公布的</w:t>
      </w:r>
      <w:r>
        <w:rPr>
          <w:rFonts w:ascii="仿宋_GB2312" w:eastAsia="仿宋_GB2312" w:hAnsi="仿宋" w:cs="仿宋"/>
          <w:snapToGrid w:val="0"/>
          <w:kern w:val="0"/>
          <w:sz w:val="32"/>
          <w:szCs w:val="32"/>
        </w:rPr>
        <w:t>1</w:t>
      </w:r>
      <w:r>
        <w:rPr>
          <w:rFonts w:ascii="仿宋_GB2312" w:eastAsia="仿宋_GB2312" w:hAnsi="仿宋" w:cs="仿宋" w:hint="eastAsia"/>
          <w:snapToGrid w:val="0"/>
          <w:kern w:val="0"/>
          <w:sz w:val="32"/>
          <w:szCs w:val="32"/>
        </w:rPr>
        <w:t>年</w:t>
      </w:r>
      <w:proofErr w:type="gramStart"/>
      <w:r>
        <w:rPr>
          <w:rFonts w:ascii="仿宋_GB2312" w:eastAsia="仿宋_GB2312" w:hAnsi="仿宋" w:cs="仿宋" w:hint="eastAsia"/>
          <w:snapToGrid w:val="0"/>
          <w:kern w:val="0"/>
          <w:sz w:val="32"/>
          <w:szCs w:val="32"/>
        </w:rPr>
        <w:t>期贷</w:t>
      </w:r>
      <w:proofErr w:type="gramEnd"/>
      <w:r>
        <w:rPr>
          <w:rFonts w:ascii="仿宋_GB2312" w:eastAsia="仿宋_GB2312" w:hAnsi="仿宋" w:cs="仿宋" w:hint="eastAsia"/>
          <w:snapToGrid w:val="0"/>
          <w:kern w:val="0"/>
          <w:sz w:val="32"/>
          <w:szCs w:val="32"/>
        </w:rPr>
        <w:t>款基准利率的，将其收益超出基准利率部分的</w:t>
      </w:r>
      <w:r>
        <w:rPr>
          <w:rFonts w:ascii="仿宋_GB2312" w:eastAsia="仿宋_GB2312" w:hAnsi="仿宋" w:cs="仿宋"/>
          <w:snapToGrid w:val="0"/>
          <w:kern w:val="0"/>
          <w:sz w:val="32"/>
          <w:szCs w:val="32"/>
        </w:rPr>
        <w:t>20%</w:t>
      </w:r>
      <w:r>
        <w:rPr>
          <w:rFonts w:ascii="仿宋_GB2312" w:eastAsia="仿宋_GB2312" w:hAnsi="仿宋" w:cs="仿宋" w:hint="eastAsia"/>
          <w:snapToGrid w:val="0"/>
          <w:kern w:val="0"/>
          <w:sz w:val="32"/>
          <w:szCs w:val="32"/>
        </w:rPr>
        <w:t>奖励给</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基金管理机构、</w:t>
      </w:r>
      <w:r>
        <w:rPr>
          <w:rFonts w:ascii="仿宋_GB2312" w:eastAsia="仿宋_GB2312" w:hAnsi="仿宋" w:cs="仿宋"/>
          <w:snapToGrid w:val="0"/>
          <w:kern w:val="0"/>
          <w:sz w:val="32"/>
          <w:szCs w:val="32"/>
        </w:rPr>
        <w:t>20%</w:t>
      </w:r>
      <w:r>
        <w:rPr>
          <w:rFonts w:ascii="仿宋_GB2312" w:eastAsia="仿宋_GB2312" w:hAnsi="仿宋" w:cs="仿宋" w:hint="eastAsia"/>
          <w:snapToGrid w:val="0"/>
          <w:kern w:val="0"/>
          <w:sz w:val="32"/>
          <w:szCs w:val="32"/>
        </w:rPr>
        <w:t>奖励给被投企业，其余</w:t>
      </w:r>
      <w:r>
        <w:rPr>
          <w:rFonts w:ascii="仿宋_GB2312" w:eastAsia="仿宋_GB2312" w:hAnsi="仿宋" w:cs="仿宋"/>
          <w:snapToGrid w:val="0"/>
          <w:kern w:val="0"/>
          <w:sz w:val="32"/>
          <w:szCs w:val="32"/>
        </w:rPr>
        <w:t>60%</w:t>
      </w:r>
      <w:r>
        <w:rPr>
          <w:rFonts w:ascii="仿宋_GB2312" w:eastAsia="仿宋_GB2312" w:hAnsi="仿宋" w:cs="仿宋" w:hint="eastAsia"/>
          <w:snapToGrid w:val="0"/>
          <w:kern w:val="0"/>
          <w:sz w:val="32"/>
          <w:szCs w:val="32"/>
        </w:rPr>
        <w:t>作为</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基金收益。</w:t>
      </w:r>
    </w:p>
    <w:p w:rsidR="00E351DE" w:rsidRDefault="00E351DE" w:rsidP="003C4E85">
      <w:pPr>
        <w:adjustRightInd w:val="0"/>
        <w:snapToGrid w:val="0"/>
        <w:spacing w:line="640" w:lineRule="exact"/>
        <w:jc w:val="center"/>
        <w:rPr>
          <w:rFonts w:ascii="黑体" w:eastAsia="黑体" w:hAnsi="黑体"/>
          <w:snapToGrid w:val="0"/>
          <w:kern w:val="0"/>
          <w:sz w:val="32"/>
          <w:szCs w:val="32"/>
        </w:rPr>
      </w:pPr>
      <w:r>
        <w:rPr>
          <w:rFonts w:ascii="黑体" w:eastAsia="黑体" w:hAnsi="黑体" w:hint="eastAsia"/>
          <w:snapToGrid w:val="0"/>
          <w:kern w:val="0"/>
          <w:sz w:val="32"/>
          <w:szCs w:val="32"/>
        </w:rPr>
        <w:t>第九章</w:t>
      </w:r>
      <w:r>
        <w:rPr>
          <w:rFonts w:ascii="黑体" w:eastAsia="黑体" w:hAnsi="黑体"/>
          <w:snapToGrid w:val="0"/>
          <w:kern w:val="0"/>
          <w:sz w:val="32"/>
          <w:szCs w:val="32"/>
        </w:rPr>
        <w:t xml:space="preserve">  </w:t>
      </w:r>
      <w:r>
        <w:rPr>
          <w:rFonts w:ascii="黑体" w:eastAsia="黑体" w:hAnsi="黑体" w:hint="eastAsia"/>
          <w:snapToGrid w:val="0"/>
          <w:kern w:val="0"/>
          <w:sz w:val="32"/>
          <w:szCs w:val="32"/>
        </w:rPr>
        <w:t>收入收缴</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lastRenderedPageBreak/>
        <w:t>第四十条</w:t>
      </w:r>
      <w:r>
        <w:rPr>
          <w:rFonts w:ascii="仿宋_GB2312" w:eastAsia="仿宋_GB2312" w:hAnsi="仿宋" w:cs="仿宋"/>
          <w:snapToGrid w:val="0"/>
          <w:kern w:val="0"/>
          <w:sz w:val="32"/>
          <w:szCs w:val="32"/>
        </w:rPr>
        <w:t xml:space="preserve">  </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基金收入包括</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基金退出时应收回的原始投资及应取得的收益、</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和直接投资项目清算时</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基金取得的剩余财产清偿收入等。</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上述原始投资及取得的收益按照</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基金的实际出资额以及</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基金股权或份额转让协议等确定；应取得的剩余财产清偿收入根据有关法律程序确定。</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第四十一条</w:t>
      </w:r>
      <w:r>
        <w:rPr>
          <w:rFonts w:ascii="仿宋_GB2312" w:eastAsia="仿宋_GB2312" w:hAnsi="仿宋" w:cs="仿宋"/>
          <w:snapToGrid w:val="0"/>
          <w:kern w:val="0"/>
          <w:sz w:val="32"/>
          <w:szCs w:val="32"/>
        </w:rPr>
        <w:t xml:space="preserve">  </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基金的收入上缴省级国库，纳入省级财政预算管理。收入收缴工作由省</w:t>
      </w:r>
      <w:proofErr w:type="gramStart"/>
      <w:r>
        <w:rPr>
          <w:rFonts w:ascii="仿宋_GB2312" w:eastAsia="仿宋_GB2312" w:hAnsi="仿宋" w:cs="仿宋" w:hint="eastAsia"/>
          <w:snapToGrid w:val="0"/>
          <w:kern w:val="0"/>
          <w:sz w:val="32"/>
          <w:szCs w:val="32"/>
        </w:rPr>
        <w:t>国控集团</w:t>
      </w:r>
      <w:proofErr w:type="gramEnd"/>
      <w:r>
        <w:rPr>
          <w:rFonts w:ascii="仿宋_GB2312" w:eastAsia="仿宋_GB2312" w:hAnsi="仿宋" w:cs="仿宋" w:hint="eastAsia"/>
          <w:snapToGrid w:val="0"/>
          <w:kern w:val="0"/>
          <w:sz w:val="32"/>
          <w:szCs w:val="32"/>
        </w:rPr>
        <w:t>负责，按照国库集中收缴有关规定执行。</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第四十二条</w:t>
      </w:r>
      <w:r>
        <w:rPr>
          <w:rFonts w:ascii="仿宋_GB2312" w:eastAsia="仿宋_GB2312" w:hAnsi="仿宋" w:cs="仿宋"/>
          <w:snapToGrid w:val="0"/>
          <w:kern w:val="0"/>
          <w:sz w:val="32"/>
          <w:szCs w:val="32"/>
        </w:rPr>
        <w:t xml:space="preserve">  </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基金的收入按以下程序上缴：</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（一）</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基金管理机构与</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其他出资人、被投企业股东等商议股权或份额退出、收益分配及清算等事宜，并对子基金实施情况和被投企业经营情况的专项审计报告、受让</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基金股权或份额申请以及确认收入所依据的相关资料等进行审核；</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（二）</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基金管理机构根据商议及审核结果，</w:t>
      </w:r>
      <w:proofErr w:type="gramStart"/>
      <w:r>
        <w:rPr>
          <w:rFonts w:ascii="仿宋_GB2312" w:eastAsia="仿宋_GB2312" w:hAnsi="仿宋" w:cs="仿宋" w:hint="eastAsia"/>
          <w:snapToGrid w:val="0"/>
          <w:kern w:val="0"/>
          <w:sz w:val="32"/>
          <w:szCs w:val="32"/>
        </w:rPr>
        <w:t>提出省引导</w:t>
      </w:r>
      <w:proofErr w:type="gramEnd"/>
      <w:r>
        <w:rPr>
          <w:rFonts w:ascii="仿宋_GB2312" w:eastAsia="仿宋_GB2312" w:hAnsi="仿宋" w:cs="仿宋" w:hint="eastAsia"/>
          <w:snapToGrid w:val="0"/>
          <w:kern w:val="0"/>
          <w:sz w:val="32"/>
          <w:szCs w:val="32"/>
        </w:rPr>
        <w:t>基金退出及收入收缴实施方案，经省</w:t>
      </w:r>
      <w:proofErr w:type="gramStart"/>
      <w:r>
        <w:rPr>
          <w:rFonts w:ascii="仿宋_GB2312" w:eastAsia="仿宋_GB2312" w:hAnsi="仿宋" w:cs="仿宋" w:hint="eastAsia"/>
          <w:snapToGrid w:val="0"/>
          <w:kern w:val="0"/>
          <w:sz w:val="32"/>
          <w:szCs w:val="32"/>
        </w:rPr>
        <w:t>国控集团</w:t>
      </w:r>
      <w:proofErr w:type="gramEnd"/>
      <w:r>
        <w:rPr>
          <w:rFonts w:ascii="仿宋_GB2312" w:eastAsia="仿宋_GB2312" w:hAnsi="仿宋" w:cs="仿宋" w:hint="eastAsia"/>
          <w:snapToGrid w:val="0"/>
          <w:kern w:val="0"/>
          <w:sz w:val="32"/>
          <w:szCs w:val="32"/>
        </w:rPr>
        <w:t>审核后，报省科技厅、省财政厅审定；</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（三）</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基金管理机构根据省科技厅、省财政厅的审</w:t>
      </w:r>
      <w:r>
        <w:rPr>
          <w:rFonts w:ascii="仿宋_GB2312" w:eastAsia="仿宋_GB2312" w:hAnsi="仿宋" w:cs="仿宋" w:hint="eastAsia"/>
          <w:snapToGrid w:val="0"/>
          <w:kern w:val="0"/>
          <w:sz w:val="32"/>
          <w:szCs w:val="32"/>
        </w:rPr>
        <w:lastRenderedPageBreak/>
        <w:t>定意见，办理股权或份额转让、收入收缴等手续，向有关缴款单位发送缴款通知；</w:t>
      </w:r>
    </w:p>
    <w:p w:rsidR="00E351DE" w:rsidRDefault="00E351DE" w:rsidP="003C4E85">
      <w:pPr>
        <w:adjustRightInd w:val="0"/>
        <w:snapToGrid w:val="0"/>
        <w:spacing w:line="640" w:lineRule="exact"/>
        <w:ind w:firstLineChars="200" w:firstLine="640"/>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（四）缴款单位在收到缴款通知后的</w:t>
      </w:r>
      <w:r>
        <w:rPr>
          <w:rFonts w:ascii="仿宋_GB2312" w:eastAsia="仿宋_GB2312" w:hAnsi="仿宋" w:cs="仿宋"/>
          <w:snapToGrid w:val="0"/>
          <w:kern w:val="0"/>
          <w:sz w:val="32"/>
          <w:szCs w:val="32"/>
        </w:rPr>
        <w:t>30</w:t>
      </w:r>
      <w:r>
        <w:rPr>
          <w:rFonts w:ascii="仿宋_GB2312" w:eastAsia="仿宋_GB2312" w:hAnsi="仿宋" w:cs="仿宋" w:hint="eastAsia"/>
          <w:snapToGrid w:val="0"/>
          <w:kern w:val="0"/>
          <w:sz w:val="32"/>
          <w:szCs w:val="32"/>
        </w:rPr>
        <w:t>日内，将应缴的</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基金收入缴入</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基金托管账户，托管账户收到资金后的</w:t>
      </w:r>
      <w:r>
        <w:rPr>
          <w:rFonts w:ascii="仿宋_GB2312" w:eastAsia="仿宋_GB2312" w:hAnsi="仿宋" w:cs="仿宋"/>
          <w:snapToGrid w:val="0"/>
          <w:kern w:val="0"/>
          <w:sz w:val="32"/>
          <w:szCs w:val="32"/>
        </w:rPr>
        <w:t>15</w:t>
      </w:r>
      <w:r>
        <w:rPr>
          <w:rFonts w:ascii="仿宋_GB2312" w:eastAsia="仿宋_GB2312" w:hAnsi="仿宋" w:cs="仿宋" w:hint="eastAsia"/>
          <w:snapToGrid w:val="0"/>
          <w:kern w:val="0"/>
          <w:sz w:val="32"/>
          <w:szCs w:val="32"/>
        </w:rPr>
        <w:t>个工作日内，由省</w:t>
      </w:r>
      <w:proofErr w:type="gramStart"/>
      <w:r>
        <w:rPr>
          <w:rFonts w:ascii="仿宋_GB2312" w:eastAsia="仿宋_GB2312" w:hAnsi="仿宋" w:cs="仿宋" w:hint="eastAsia"/>
          <w:snapToGrid w:val="0"/>
          <w:kern w:val="0"/>
          <w:sz w:val="32"/>
          <w:szCs w:val="32"/>
        </w:rPr>
        <w:t>国控集团</w:t>
      </w:r>
      <w:proofErr w:type="gramEnd"/>
      <w:r>
        <w:rPr>
          <w:rFonts w:ascii="仿宋_GB2312" w:eastAsia="仿宋_GB2312" w:hAnsi="仿宋" w:cs="仿宋" w:hint="eastAsia"/>
          <w:snapToGrid w:val="0"/>
          <w:kern w:val="0"/>
          <w:sz w:val="32"/>
          <w:szCs w:val="32"/>
        </w:rPr>
        <w:t>缴入省级国库。</w:t>
      </w:r>
    </w:p>
    <w:p w:rsidR="00E351DE" w:rsidRDefault="00E351DE" w:rsidP="003C4E85">
      <w:pPr>
        <w:adjustRightInd w:val="0"/>
        <w:snapToGrid w:val="0"/>
        <w:spacing w:line="640" w:lineRule="exact"/>
        <w:jc w:val="center"/>
        <w:rPr>
          <w:rFonts w:ascii="黑体" w:eastAsia="黑体" w:hAnsi="黑体"/>
          <w:snapToGrid w:val="0"/>
          <w:kern w:val="0"/>
          <w:sz w:val="32"/>
          <w:szCs w:val="32"/>
        </w:rPr>
      </w:pPr>
      <w:r>
        <w:rPr>
          <w:rFonts w:ascii="黑体" w:eastAsia="黑体" w:hAnsi="黑体" w:hint="eastAsia"/>
          <w:snapToGrid w:val="0"/>
          <w:kern w:val="0"/>
          <w:sz w:val="32"/>
          <w:szCs w:val="32"/>
        </w:rPr>
        <w:t>第十章</w:t>
      </w:r>
      <w:r>
        <w:rPr>
          <w:rFonts w:ascii="黑体" w:eastAsia="黑体" w:hAnsi="黑体"/>
          <w:snapToGrid w:val="0"/>
          <w:kern w:val="0"/>
          <w:sz w:val="32"/>
          <w:szCs w:val="32"/>
        </w:rPr>
        <w:t xml:space="preserve">  </w:t>
      </w:r>
      <w:r>
        <w:rPr>
          <w:rFonts w:ascii="黑体" w:eastAsia="黑体" w:hAnsi="黑体" w:hint="eastAsia"/>
          <w:snapToGrid w:val="0"/>
          <w:kern w:val="0"/>
          <w:sz w:val="32"/>
          <w:szCs w:val="32"/>
        </w:rPr>
        <w:t>监督考核</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第四十三条</w:t>
      </w:r>
      <w:r>
        <w:rPr>
          <w:rFonts w:ascii="仿宋_GB2312" w:eastAsia="仿宋_GB2312" w:hAnsi="仿宋" w:cs="仿宋"/>
          <w:snapToGrid w:val="0"/>
          <w:kern w:val="0"/>
          <w:sz w:val="32"/>
          <w:szCs w:val="32"/>
        </w:rPr>
        <w:t xml:space="preserve">  </w:t>
      </w:r>
      <w:r>
        <w:rPr>
          <w:rFonts w:ascii="仿宋_GB2312" w:eastAsia="仿宋_GB2312" w:hAnsi="仿宋" w:cs="仿宋" w:hint="eastAsia"/>
          <w:snapToGrid w:val="0"/>
          <w:kern w:val="0"/>
          <w:sz w:val="32"/>
          <w:szCs w:val="32"/>
        </w:rPr>
        <w:t>省科技</w:t>
      </w:r>
      <w:proofErr w:type="gramStart"/>
      <w:r>
        <w:rPr>
          <w:rFonts w:ascii="仿宋_GB2312" w:eastAsia="仿宋_GB2312" w:hAnsi="仿宋" w:cs="仿宋" w:hint="eastAsia"/>
          <w:snapToGrid w:val="0"/>
          <w:kern w:val="0"/>
          <w:sz w:val="32"/>
          <w:szCs w:val="32"/>
        </w:rPr>
        <w:t>厅建立</w:t>
      </w:r>
      <w:proofErr w:type="gramEnd"/>
      <w:r>
        <w:rPr>
          <w:rFonts w:ascii="仿宋_GB2312" w:eastAsia="仿宋_GB2312" w:hAnsi="仿宋" w:cs="仿宋" w:hint="eastAsia"/>
          <w:snapToGrid w:val="0"/>
          <w:kern w:val="0"/>
          <w:sz w:val="32"/>
          <w:szCs w:val="32"/>
        </w:rPr>
        <w:t>统一开放的基金投资管理信息系统，向基金管理机构提供项目投资管理服务，实施“募、投、管、退”全链条系统管理，推动项目与资金的对接，加强对子基金的监督。</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第四十四条</w:t>
      </w:r>
      <w:r>
        <w:rPr>
          <w:rFonts w:ascii="仿宋_GB2312" w:eastAsia="仿宋_GB2312" w:hAnsi="仿宋" w:cs="仿宋"/>
          <w:snapToGrid w:val="0"/>
          <w:kern w:val="0"/>
          <w:sz w:val="32"/>
          <w:szCs w:val="32"/>
        </w:rPr>
        <w:t xml:space="preserve">  </w:t>
      </w:r>
      <w:r>
        <w:rPr>
          <w:rFonts w:ascii="仿宋_GB2312" w:eastAsia="仿宋_GB2312" w:hAnsi="仿宋" w:cs="仿宋" w:hint="eastAsia"/>
          <w:snapToGrid w:val="0"/>
          <w:kern w:val="0"/>
          <w:sz w:val="32"/>
          <w:szCs w:val="32"/>
        </w:rPr>
        <w:t>省</w:t>
      </w:r>
      <w:proofErr w:type="gramStart"/>
      <w:r>
        <w:rPr>
          <w:rFonts w:ascii="仿宋_GB2312" w:eastAsia="仿宋_GB2312" w:hAnsi="Times New Roman" w:hint="eastAsia"/>
          <w:snapToGrid w:val="0"/>
          <w:color w:val="000000"/>
          <w:kern w:val="0"/>
          <w:sz w:val="32"/>
          <w:szCs w:val="32"/>
        </w:rPr>
        <w:t>国</w:t>
      </w:r>
      <w:r>
        <w:rPr>
          <w:rFonts w:ascii="仿宋_GB2312" w:eastAsia="仿宋_GB2312" w:hAnsi="仿宋" w:cs="仿宋" w:hint="eastAsia"/>
          <w:snapToGrid w:val="0"/>
          <w:kern w:val="0"/>
          <w:sz w:val="32"/>
          <w:szCs w:val="32"/>
        </w:rPr>
        <w:t>控集团</w:t>
      </w:r>
      <w:proofErr w:type="gramEnd"/>
      <w:r>
        <w:rPr>
          <w:rFonts w:ascii="仿宋_GB2312" w:eastAsia="仿宋_GB2312" w:hAnsi="仿宋" w:cs="仿宋" w:hint="eastAsia"/>
          <w:snapToGrid w:val="0"/>
          <w:kern w:val="0"/>
          <w:sz w:val="32"/>
          <w:szCs w:val="32"/>
        </w:rPr>
        <w:t>应及时向省科技厅、省财政厅报告</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基金和</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法律文件变更、资本增减、违法违规事件、管理机构变动、清算与解散等重大事项。</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第四十五条</w:t>
      </w:r>
      <w:r>
        <w:rPr>
          <w:rFonts w:ascii="仿宋_GB2312" w:eastAsia="仿宋_GB2312" w:hAnsi="仿宋" w:cs="仿宋"/>
          <w:snapToGrid w:val="0"/>
          <w:kern w:val="0"/>
          <w:sz w:val="32"/>
          <w:szCs w:val="32"/>
        </w:rPr>
        <w:t xml:space="preserve">  </w:t>
      </w:r>
      <w:r>
        <w:rPr>
          <w:rFonts w:ascii="仿宋_GB2312" w:eastAsia="仿宋_GB2312" w:hAnsi="仿宋" w:cs="仿宋" w:hint="eastAsia"/>
          <w:snapToGrid w:val="0"/>
          <w:kern w:val="0"/>
          <w:sz w:val="32"/>
          <w:szCs w:val="32"/>
        </w:rPr>
        <w:t>省科技厅、省财政厅建立基金考核评价制度，按年度对</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基金管理机构政策目标实现程度、投资运营情况等开展考核评价，对年度考核不合格的相应扣减管理机构管理费，对连续两年考核不合格的，取消基金管理资格。</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第四十六条</w:t>
      </w:r>
      <w:r>
        <w:rPr>
          <w:rFonts w:ascii="仿宋_GB2312" w:eastAsia="仿宋_GB2312" w:hAnsi="仿宋" w:cs="仿宋"/>
          <w:snapToGrid w:val="0"/>
          <w:kern w:val="0"/>
          <w:sz w:val="32"/>
          <w:szCs w:val="32"/>
        </w:rPr>
        <w:t xml:space="preserve">  </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基金管理机构应当接受省财政厅、省审计厅对基金运行情况的审计、监督。</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lastRenderedPageBreak/>
        <w:t>第四十七条</w:t>
      </w:r>
      <w:r>
        <w:rPr>
          <w:rFonts w:ascii="仿宋_GB2312" w:eastAsia="仿宋_GB2312" w:hAnsi="仿宋" w:cs="仿宋"/>
          <w:snapToGrid w:val="0"/>
          <w:kern w:val="0"/>
          <w:sz w:val="32"/>
          <w:szCs w:val="32"/>
        </w:rPr>
        <w:t xml:space="preserve">  </w:t>
      </w:r>
      <w:proofErr w:type="gramStart"/>
      <w:r>
        <w:rPr>
          <w:rFonts w:ascii="仿宋_GB2312" w:eastAsia="仿宋_GB2312" w:hAnsi="仿宋" w:cs="仿宋" w:hint="eastAsia"/>
          <w:snapToGrid w:val="0"/>
          <w:kern w:val="0"/>
          <w:sz w:val="32"/>
          <w:szCs w:val="32"/>
        </w:rPr>
        <w:t>省引导</w:t>
      </w:r>
      <w:proofErr w:type="gramEnd"/>
      <w:r>
        <w:rPr>
          <w:rFonts w:ascii="仿宋_GB2312" w:eastAsia="仿宋_GB2312" w:hAnsi="仿宋" w:cs="仿宋" w:hint="eastAsia"/>
          <w:snapToGrid w:val="0"/>
          <w:kern w:val="0"/>
          <w:sz w:val="32"/>
          <w:szCs w:val="32"/>
        </w:rPr>
        <w:t>基金管理机构和相关个人不能有效履行职责、发生重大过失或违规行为等造成恶劣影响的，视情况给予约谈、批评、警告直至取消资格等处理；触犯法律法规的，将按国家有关法律法规处理。</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第四十八条</w:t>
      </w:r>
      <w:r>
        <w:rPr>
          <w:rFonts w:ascii="楷体" w:eastAsia="楷体" w:hAnsi="楷体" w:cs="仿宋"/>
          <w:b/>
          <w:snapToGrid w:val="0"/>
          <w:kern w:val="0"/>
          <w:sz w:val="32"/>
          <w:szCs w:val="32"/>
        </w:rPr>
        <w:t xml:space="preserve"> </w:t>
      </w:r>
      <w:r>
        <w:rPr>
          <w:rFonts w:ascii="仿宋_GB2312" w:eastAsia="仿宋_GB2312" w:hAnsi="仿宋" w:cs="仿宋"/>
          <w:snapToGrid w:val="0"/>
          <w:kern w:val="0"/>
          <w:sz w:val="32"/>
          <w:szCs w:val="32"/>
        </w:rPr>
        <w:t xml:space="preserve"> </w:t>
      </w:r>
      <w:r>
        <w:rPr>
          <w:rFonts w:ascii="仿宋_GB2312" w:eastAsia="仿宋_GB2312" w:hAnsi="仿宋" w:cs="仿宋" w:hint="eastAsia"/>
          <w:snapToGrid w:val="0"/>
          <w:kern w:val="0"/>
          <w:sz w:val="32"/>
          <w:szCs w:val="32"/>
        </w:rPr>
        <w:t>任何单位和个人不得隐瞒、滞留、截留、挤占、</w:t>
      </w:r>
      <w:proofErr w:type="gramStart"/>
      <w:r>
        <w:rPr>
          <w:rFonts w:ascii="仿宋_GB2312" w:eastAsia="仿宋_GB2312" w:hAnsi="仿宋" w:cs="仿宋" w:hint="eastAsia"/>
          <w:snapToGrid w:val="0"/>
          <w:kern w:val="0"/>
          <w:sz w:val="32"/>
          <w:szCs w:val="32"/>
        </w:rPr>
        <w:t>挪用省引导</w:t>
      </w:r>
      <w:proofErr w:type="gramEnd"/>
      <w:r>
        <w:rPr>
          <w:rFonts w:ascii="仿宋_GB2312" w:eastAsia="仿宋_GB2312" w:hAnsi="仿宋" w:cs="仿宋" w:hint="eastAsia"/>
          <w:snapToGrid w:val="0"/>
          <w:kern w:val="0"/>
          <w:sz w:val="32"/>
          <w:szCs w:val="32"/>
        </w:rPr>
        <w:t>基金的收入。一经发现和查实前述行为，除收回资金外，按照《财政违法行为处罚处分条例》（国务院令第</w:t>
      </w:r>
      <w:r>
        <w:rPr>
          <w:rFonts w:ascii="仿宋_GB2312" w:eastAsia="仿宋_GB2312" w:hAnsi="仿宋" w:cs="仿宋"/>
          <w:snapToGrid w:val="0"/>
          <w:kern w:val="0"/>
          <w:sz w:val="32"/>
          <w:szCs w:val="32"/>
        </w:rPr>
        <w:t>427</w:t>
      </w:r>
      <w:r>
        <w:rPr>
          <w:rFonts w:ascii="仿宋_GB2312" w:eastAsia="仿宋_GB2312" w:hAnsi="仿宋" w:cs="仿宋" w:hint="eastAsia"/>
          <w:snapToGrid w:val="0"/>
          <w:kern w:val="0"/>
          <w:sz w:val="32"/>
          <w:szCs w:val="32"/>
        </w:rPr>
        <w:t>号）的规定处理。</w:t>
      </w:r>
    </w:p>
    <w:p w:rsidR="00E351DE" w:rsidRDefault="00E351DE" w:rsidP="003C4E85">
      <w:pPr>
        <w:adjustRightInd w:val="0"/>
        <w:snapToGrid w:val="0"/>
        <w:spacing w:line="640" w:lineRule="exact"/>
        <w:jc w:val="center"/>
        <w:rPr>
          <w:rFonts w:ascii="黑体" w:eastAsia="黑体" w:hAnsi="黑体"/>
          <w:snapToGrid w:val="0"/>
          <w:kern w:val="0"/>
          <w:sz w:val="32"/>
          <w:szCs w:val="32"/>
        </w:rPr>
      </w:pPr>
      <w:r>
        <w:rPr>
          <w:rFonts w:ascii="黑体" w:eastAsia="黑体" w:hAnsi="黑体" w:hint="eastAsia"/>
          <w:snapToGrid w:val="0"/>
          <w:kern w:val="0"/>
          <w:sz w:val="32"/>
          <w:szCs w:val="32"/>
        </w:rPr>
        <w:t>第十一章</w:t>
      </w:r>
      <w:r>
        <w:rPr>
          <w:rFonts w:ascii="黑体" w:eastAsia="黑体" w:hAnsi="黑体"/>
          <w:snapToGrid w:val="0"/>
          <w:kern w:val="0"/>
          <w:sz w:val="32"/>
          <w:szCs w:val="32"/>
        </w:rPr>
        <w:t xml:space="preserve">  </w:t>
      </w:r>
      <w:r>
        <w:rPr>
          <w:rFonts w:ascii="黑体" w:eastAsia="黑体" w:hAnsi="黑体" w:hint="eastAsia"/>
          <w:snapToGrid w:val="0"/>
          <w:kern w:val="0"/>
          <w:sz w:val="32"/>
          <w:szCs w:val="32"/>
        </w:rPr>
        <w:t>附则</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第四十九条</w:t>
      </w:r>
      <w:r>
        <w:rPr>
          <w:rFonts w:ascii="仿宋_GB2312" w:eastAsia="仿宋_GB2312" w:hAnsi="仿宋" w:cs="仿宋"/>
          <w:snapToGrid w:val="0"/>
          <w:kern w:val="0"/>
          <w:sz w:val="32"/>
          <w:szCs w:val="32"/>
        </w:rPr>
        <w:t xml:space="preserve">  </w:t>
      </w:r>
      <w:r>
        <w:rPr>
          <w:rFonts w:ascii="仿宋_GB2312" w:eastAsia="仿宋_GB2312" w:hAnsi="仿宋" w:cs="仿宋" w:hint="eastAsia"/>
          <w:snapToGrid w:val="0"/>
          <w:kern w:val="0"/>
          <w:sz w:val="32"/>
          <w:szCs w:val="32"/>
        </w:rPr>
        <w:t>本办法规定的相关事项应在</w:t>
      </w:r>
      <w:proofErr w:type="gramStart"/>
      <w:r>
        <w:rPr>
          <w:rFonts w:ascii="仿宋_GB2312" w:eastAsia="仿宋_GB2312" w:hAnsi="仿宋" w:cs="仿宋" w:hint="eastAsia"/>
          <w:snapToGrid w:val="0"/>
          <w:kern w:val="0"/>
          <w:sz w:val="32"/>
          <w:szCs w:val="32"/>
        </w:rPr>
        <w:t>子基金</w:t>
      </w:r>
      <w:proofErr w:type="gramEnd"/>
      <w:r>
        <w:rPr>
          <w:rFonts w:ascii="仿宋_GB2312" w:eastAsia="仿宋_GB2312" w:hAnsi="仿宋" w:cs="仿宋" w:hint="eastAsia"/>
          <w:snapToGrid w:val="0"/>
          <w:kern w:val="0"/>
          <w:sz w:val="32"/>
          <w:szCs w:val="32"/>
        </w:rPr>
        <w:t>章程和投资人协议中载明。</w:t>
      </w:r>
    </w:p>
    <w:p w:rsidR="00E351DE" w:rsidRDefault="00E351DE" w:rsidP="003C4E85">
      <w:pPr>
        <w:adjustRightInd w:val="0"/>
        <w:snapToGrid w:val="0"/>
        <w:spacing w:line="640" w:lineRule="exact"/>
        <w:ind w:firstLineChars="200" w:firstLine="643"/>
        <w:rPr>
          <w:rFonts w:ascii="仿宋_GB2312" w:eastAsia="仿宋_GB2312" w:hAnsi="仿宋" w:cs="仿宋"/>
          <w:snapToGrid w:val="0"/>
          <w:kern w:val="0"/>
          <w:sz w:val="32"/>
          <w:szCs w:val="32"/>
        </w:rPr>
      </w:pPr>
      <w:r>
        <w:rPr>
          <w:rFonts w:ascii="楷体" w:eastAsia="楷体" w:hAnsi="楷体" w:cs="仿宋" w:hint="eastAsia"/>
          <w:b/>
          <w:snapToGrid w:val="0"/>
          <w:kern w:val="0"/>
          <w:sz w:val="32"/>
          <w:szCs w:val="32"/>
        </w:rPr>
        <w:t>第五十条</w:t>
      </w:r>
      <w:r>
        <w:rPr>
          <w:rFonts w:ascii="仿宋_GB2312" w:eastAsia="仿宋_GB2312" w:hAnsi="仿宋" w:cs="仿宋"/>
          <w:snapToGrid w:val="0"/>
          <w:kern w:val="0"/>
          <w:sz w:val="32"/>
          <w:szCs w:val="32"/>
        </w:rPr>
        <w:t xml:space="preserve">  </w:t>
      </w:r>
      <w:r>
        <w:rPr>
          <w:rFonts w:ascii="仿宋_GB2312" w:eastAsia="仿宋_GB2312" w:hAnsi="仿宋" w:cs="仿宋" w:hint="eastAsia"/>
          <w:snapToGrid w:val="0"/>
          <w:kern w:val="0"/>
          <w:sz w:val="32"/>
          <w:szCs w:val="32"/>
        </w:rPr>
        <w:t>本办法自发布之日起施行，由省科技厅、省财政厅负责解释。</w:t>
      </w:r>
    </w:p>
    <w:p w:rsidR="00E351DE" w:rsidRPr="00DC7C8C" w:rsidRDefault="009330C7" w:rsidP="00161D40">
      <w:pPr>
        <w:jc w:val="right"/>
        <w:rPr>
          <w:rFonts w:ascii="仿宋" w:eastAsia="仿宋" w:hAnsi="仿宋"/>
          <w:sz w:val="32"/>
          <w:szCs w:val="32"/>
        </w:rPr>
      </w:pPr>
      <w:r w:rsidRPr="009330C7">
        <w:rPr>
          <w:noProof/>
        </w:rPr>
        <w:pict>
          <v:line id="_x0000_s1029" style="position:absolute;left:0;text-align:left;z-index:251660288" from="-2.25pt,3.6pt" to="420.75pt,3.6pt"/>
        </w:pict>
      </w:r>
      <w:r w:rsidR="00E351DE" w:rsidRPr="002C6AE6">
        <w:rPr>
          <w:rFonts w:ascii="仿宋_GB2312" w:eastAsia="仿宋_GB2312" w:hint="eastAsia"/>
          <w:color w:val="FFFFFF"/>
          <w:sz w:val="32"/>
          <w:szCs w:val="32"/>
        </w:rPr>
        <w:t>一</w:t>
      </w:r>
    </w:p>
    <w:sectPr w:rsidR="00E351DE" w:rsidRPr="00DC7C8C" w:rsidSect="00DC3A13">
      <w:footerReference w:type="even" r:id="rId6"/>
      <w:footerReference w:type="default" r:id="rId7"/>
      <w:pgSz w:w="11906" w:h="16838" w:code="9"/>
      <w:pgMar w:top="2098" w:right="1588" w:bottom="1985" w:left="1588" w:header="851" w:footer="141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ABB" w:rsidRDefault="00772ABB">
      <w:r>
        <w:separator/>
      </w:r>
    </w:p>
  </w:endnote>
  <w:endnote w:type="continuationSeparator" w:id="0">
    <w:p w:rsidR="00772ABB" w:rsidRDefault="00772A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1DE" w:rsidRDefault="009330C7" w:rsidP="003C4E85">
    <w:pPr>
      <w:pStyle w:val="a3"/>
      <w:framePr w:wrap="around" w:vAnchor="text" w:hAnchor="margin" w:xAlign="outside" w:y="1"/>
      <w:rPr>
        <w:rStyle w:val="a6"/>
      </w:rPr>
    </w:pPr>
    <w:r>
      <w:rPr>
        <w:rStyle w:val="a6"/>
      </w:rPr>
      <w:fldChar w:fldCharType="begin"/>
    </w:r>
    <w:r w:rsidR="00E351DE">
      <w:rPr>
        <w:rStyle w:val="a6"/>
      </w:rPr>
      <w:instrText xml:space="preserve">PAGE  </w:instrText>
    </w:r>
    <w:r>
      <w:rPr>
        <w:rStyle w:val="a6"/>
      </w:rPr>
      <w:fldChar w:fldCharType="end"/>
    </w:r>
  </w:p>
  <w:p w:rsidR="00E351DE" w:rsidRDefault="00E351DE" w:rsidP="003C4E85">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1DE" w:rsidRPr="003C4E85" w:rsidRDefault="009330C7" w:rsidP="003C4E85">
    <w:pPr>
      <w:pStyle w:val="a3"/>
      <w:framePr w:wrap="around" w:vAnchor="text" w:hAnchor="margin" w:xAlign="outside" w:y="1"/>
      <w:rPr>
        <w:rStyle w:val="a6"/>
        <w:rFonts w:ascii="宋体"/>
        <w:sz w:val="28"/>
        <w:szCs w:val="28"/>
      </w:rPr>
    </w:pPr>
    <w:r w:rsidRPr="003C4E85">
      <w:rPr>
        <w:rStyle w:val="a6"/>
        <w:rFonts w:ascii="宋体" w:hAnsi="宋体"/>
        <w:sz w:val="28"/>
        <w:szCs w:val="28"/>
      </w:rPr>
      <w:fldChar w:fldCharType="begin"/>
    </w:r>
    <w:r w:rsidR="00E351DE" w:rsidRPr="003C4E85">
      <w:rPr>
        <w:rStyle w:val="a6"/>
        <w:rFonts w:ascii="宋体" w:hAnsi="宋体"/>
        <w:sz w:val="28"/>
        <w:szCs w:val="28"/>
      </w:rPr>
      <w:instrText xml:space="preserve">PAGE  </w:instrText>
    </w:r>
    <w:r w:rsidRPr="003C4E85">
      <w:rPr>
        <w:rStyle w:val="a6"/>
        <w:rFonts w:ascii="宋体" w:hAnsi="宋体"/>
        <w:sz w:val="28"/>
        <w:szCs w:val="28"/>
      </w:rPr>
      <w:fldChar w:fldCharType="separate"/>
    </w:r>
    <w:r w:rsidR="00173E76">
      <w:rPr>
        <w:rStyle w:val="a6"/>
        <w:rFonts w:ascii="宋体" w:hAnsi="宋体"/>
        <w:noProof/>
        <w:sz w:val="28"/>
        <w:szCs w:val="28"/>
      </w:rPr>
      <w:t>- 17 -</w:t>
    </w:r>
    <w:r w:rsidRPr="003C4E85">
      <w:rPr>
        <w:rStyle w:val="a6"/>
        <w:rFonts w:ascii="宋体" w:hAnsi="宋体"/>
        <w:sz w:val="28"/>
        <w:szCs w:val="28"/>
      </w:rPr>
      <w:fldChar w:fldCharType="end"/>
    </w:r>
  </w:p>
  <w:p w:rsidR="00E351DE" w:rsidRDefault="009330C7" w:rsidP="003C4E85">
    <w:pPr>
      <w:pStyle w:val="a3"/>
      <w:ind w:right="360" w:firstLine="360"/>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251660288;visibility:visible;mso-wrap-style:none;mso-position-horizontal:center;mso-position-horizontal-relative:margin" filled="f" stroked="f" strokeweight=".5pt">
          <v:textbox style="mso-fit-shape-to-text:t" inset="0,0,0,0">
            <w:txbxContent>
              <w:p w:rsidR="00E351DE" w:rsidRDefault="00E351DE">
                <w:pPr>
                  <w:pStyle w:val="a3"/>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ABB" w:rsidRDefault="00772ABB">
      <w:r>
        <w:separator/>
      </w:r>
    </w:p>
  </w:footnote>
  <w:footnote w:type="continuationSeparator" w:id="0">
    <w:p w:rsidR="00772ABB" w:rsidRDefault="00772A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3FA3"/>
    <w:rsid w:val="00064124"/>
    <w:rsid w:val="00097AEC"/>
    <w:rsid w:val="000C5871"/>
    <w:rsid w:val="00102FB5"/>
    <w:rsid w:val="00133D13"/>
    <w:rsid w:val="00155114"/>
    <w:rsid w:val="00161D40"/>
    <w:rsid w:val="00173E76"/>
    <w:rsid w:val="001976C6"/>
    <w:rsid w:val="001B40EE"/>
    <w:rsid w:val="001C1E33"/>
    <w:rsid w:val="002236B9"/>
    <w:rsid w:val="002363DD"/>
    <w:rsid w:val="00242585"/>
    <w:rsid w:val="002427AD"/>
    <w:rsid w:val="00273701"/>
    <w:rsid w:val="0029276B"/>
    <w:rsid w:val="002C6AE6"/>
    <w:rsid w:val="002F44A8"/>
    <w:rsid w:val="0033581E"/>
    <w:rsid w:val="0034561E"/>
    <w:rsid w:val="00370704"/>
    <w:rsid w:val="003975A6"/>
    <w:rsid w:val="003C4E85"/>
    <w:rsid w:val="003D45B7"/>
    <w:rsid w:val="003F6A32"/>
    <w:rsid w:val="00404190"/>
    <w:rsid w:val="00423728"/>
    <w:rsid w:val="00440E29"/>
    <w:rsid w:val="00465FE5"/>
    <w:rsid w:val="00472211"/>
    <w:rsid w:val="004A6D6B"/>
    <w:rsid w:val="004B5432"/>
    <w:rsid w:val="004F1082"/>
    <w:rsid w:val="00514B81"/>
    <w:rsid w:val="00534907"/>
    <w:rsid w:val="005349FE"/>
    <w:rsid w:val="00537DB6"/>
    <w:rsid w:val="00557AAE"/>
    <w:rsid w:val="00560F29"/>
    <w:rsid w:val="00592021"/>
    <w:rsid w:val="00594681"/>
    <w:rsid w:val="005B7247"/>
    <w:rsid w:val="005F55C2"/>
    <w:rsid w:val="0064479E"/>
    <w:rsid w:val="00665A97"/>
    <w:rsid w:val="006E4A87"/>
    <w:rsid w:val="0071255A"/>
    <w:rsid w:val="00772ABB"/>
    <w:rsid w:val="007A1489"/>
    <w:rsid w:val="007B0B7C"/>
    <w:rsid w:val="007D7499"/>
    <w:rsid w:val="008445EC"/>
    <w:rsid w:val="008F22B9"/>
    <w:rsid w:val="00910EA9"/>
    <w:rsid w:val="0092217C"/>
    <w:rsid w:val="00923941"/>
    <w:rsid w:val="009330C7"/>
    <w:rsid w:val="00937843"/>
    <w:rsid w:val="00956583"/>
    <w:rsid w:val="009C002A"/>
    <w:rsid w:val="009C1AD0"/>
    <w:rsid w:val="009D4055"/>
    <w:rsid w:val="009E08C6"/>
    <w:rsid w:val="009E2C02"/>
    <w:rsid w:val="00A01C19"/>
    <w:rsid w:val="00A63B6F"/>
    <w:rsid w:val="00A93C10"/>
    <w:rsid w:val="00AB4F2E"/>
    <w:rsid w:val="00AC4347"/>
    <w:rsid w:val="00B3154D"/>
    <w:rsid w:val="00BE30F3"/>
    <w:rsid w:val="00BE4F0D"/>
    <w:rsid w:val="00BF1A65"/>
    <w:rsid w:val="00BF1D8C"/>
    <w:rsid w:val="00BF1F08"/>
    <w:rsid w:val="00BF3C2F"/>
    <w:rsid w:val="00BF48FC"/>
    <w:rsid w:val="00C22DA0"/>
    <w:rsid w:val="00C23883"/>
    <w:rsid w:val="00C33213"/>
    <w:rsid w:val="00C35505"/>
    <w:rsid w:val="00CF1427"/>
    <w:rsid w:val="00D31F3D"/>
    <w:rsid w:val="00D63FA3"/>
    <w:rsid w:val="00DA3915"/>
    <w:rsid w:val="00DC3A13"/>
    <w:rsid w:val="00DC7C8C"/>
    <w:rsid w:val="00DF1D4C"/>
    <w:rsid w:val="00E0057D"/>
    <w:rsid w:val="00E351DE"/>
    <w:rsid w:val="00E37A09"/>
    <w:rsid w:val="00E90718"/>
    <w:rsid w:val="00EE5EEC"/>
    <w:rsid w:val="00F55CA8"/>
    <w:rsid w:val="00F562AE"/>
    <w:rsid w:val="00F80D17"/>
    <w:rsid w:val="00FE64DB"/>
    <w:rsid w:val="0626463D"/>
    <w:rsid w:val="17BB5F7C"/>
    <w:rsid w:val="18596F64"/>
    <w:rsid w:val="18BA1BD8"/>
    <w:rsid w:val="284B49C8"/>
    <w:rsid w:val="36944E8A"/>
    <w:rsid w:val="37B27A19"/>
    <w:rsid w:val="39370208"/>
    <w:rsid w:val="3AA20B28"/>
    <w:rsid w:val="3E257232"/>
    <w:rsid w:val="3E512EC4"/>
    <w:rsid w:val="41134AED"/>
    <w:rsid w:val="416D2B23"/>
    <w:rsid w:val="469F4E8A"/>
    <w:rsid w:val="5065338E"/>
    <w:rsid w:val="560E797B"/>
    <w:rsid w:val="61E443A3"/>
    <w:rsid w:val="663C4A8C"/>
    <w:rsid w:val="7B9951D7"/>
    <w:rsid w:val="7EF64C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65A97"/>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665A97"/>
    <w:rPr>
      <w:rFonts w:cs="Times New Roman"/>
      <w:sz w:val="18"/>
      <w:szCs w:val="18"/>
    </w:rPr>
  </w:style>
  <w:style w:type="paragraph" w:styleId="a4">
    <w:name w:val="header"/>
    <w:basedOn w:val="a"/>
    <w:link w:val="Char0"/>
    <w:uiPriority w:val="99"/>
    <w:rsid w:val="00665A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665A97"/>
    <w:rPr>
      <w:rFonts w:cs="Times New Roman"/>
      <w:sz w:val="18"/>
      <w:szCs w:val="18"/>
    </w:rPr>
  </w:style>
  <w:style w:type="paragraph" w:styleId="a5">
    <w:name w:val="Balloon Text"/>
    <w:basedOn w:val="a"/>
    <w:link w:val="Char1"/>
    <w:uiPriority w:val="99"/>
    <w:semiHidden/>
    <w:rsid w:val="00594681"/>
    <w:rPr>
      <w:sz w:val="18"/>
      <w:szCs w:val="18"/>
    </w:rPr>
  </w:style>
  <w:style w:type="character" w:customStyle="1" w:styleId="Char1">
    <w:name w:val="批注框文本 Char"/>
    <w:basedOn w:val="a0"/>
    <w:link w:val="a5"/>
    <w:uiPriority w:val="99"/>
    <w:semiHidden/>
    <w:locked/>
    <w:rsid w:val="00594681"/>
    <w:rPr>
      <w:rFonts w:cs="Times New Roman"/>
      <w:kern w:val="2"/>
      <w:sz w:val="18"/>
      <w:szCs w:val="18"/>
    </w:rPr>
  </w:style>
  <w:style w:type="character" w:styleId="a6">
    <w:name w:val="page number"/>
    <w:basedOn w:val="a0"/>
    <w:uiPriority w:val="99"/>
    <w:rsid w:val="003C4E8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1089</Words>
  <Characters>6209</Characters>
  <Application>Microsoft Office Word</Application>
  <DocSecurity>0</DocSecurity>
  <Lines>51</Lines>
  <Paragraphs>14</Paragraphs>
  <ScaleCrop>false</ScaleCrop>
  <Company>Hewlett-Packard Company</Company>
  <LinksUpToDate>false</LinksUpToDate>
  <CharactersWithSpaces>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皖科资〔2019〕41号</dc:title>
  <dc:creator>hp</dc:creator>
  <cp:lastModifiedBy>ygc</cp:lastModifiedBy>
  <cp:revision>2</cp:revision>
  <cp:lastPrinted>2020-01-03T01:47:00Z</cp:lastPrinted>
  <dcterms:created xsi:type="dcterms:W3CDTF">2020-01-15T07:46:00Z</dcterms:created>
  <dcterms:modified xsi:type="dcterms:W3CDTF">2020-01-15T07:46:00Z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