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7" w:rsidRPr="00093FC0" w:rsidRDefault="00ED61C7" w:rsidP="00093FC0">
      <w:pPr>
        <w:rPr>
          <w:rFonts w:ascii="黑体" w:eastAsia="黑体" w:hAnsi="黑体"/>
          <w:sz w:val="32"/>
          <w:szCs w:val="32"/>
        </w:rPr>
      </w:pPr>
      <w:r w:rsidRPr="00093FC0">
        <w:rPr>
          <w:rFonts w:ascii="黑体" w:eastAsia="黑体" w:hAnsi="黑体" w:hint="eastAsia"/>
          <w:sz w:val="32"/>
          <w:szCs w:val="32"/>
        </w:rPr>
        <w:t>附件</w:t>
      </w:r>
      <w:r w:rsidRPr="00093FC0">
        <w:rPr>
          <w:rFonts w:ascii="黑体" w:eastAsia="黑体" w:hAnsi="黑体"/>
          <w:sz w:val="32"/>
          <w:szCs w:val="32"/>
        </w:rPr>
        <w:t>4</w:t>
      </w:r>
    </w:p>
    <w:p w:rsidR="00ED61C7" w:rsidRPr="00093FC0" w:rsidRDefault="00ED61C7" w:rsidP="00093FC0">
      <w:pPr>
        <w:jc w:val="center"/>
        <w:rPr>
          <w:rFonts w:ascii="方正小标宋_GBK" w:eastAsia="方正小标宋_GBK" w:hAnsi="黑体"/>
          <w:sz w:val="44"/>
          <w:szCs w:val="44"/>
        </w:rPr>
      </w:pPr>
      <w:r w:rsidRPr="00093FC0">
        <w:rPr>
          <w:rFonts w:ascii="方正小标宋_GBK" w:eastAsia="方正小标宋_GBK" w:hAnsi="黑体" w:hint="eastAsia"/>
          <w:sz w:val="44"/>
          <w:szCs w:val="44"/>
        </w:rPr>
        <w:t>县（市）基本信息表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3827"/>
        <w:gridCol w:w="2064"/>
      </w:tblGrid>
      <w:tr w:rsidR="00ED61C7" w:rsidRPr="00DE7E0E" w:rsidTr="00597B94">
        <w:trPr>
          <w:trHeight w:val="641"/>
          <w:jc w:val="center"/>
        </w:trPr>
        <w:tc>
          <w:tcPr>
            <w:tcW w:w="6232" w:type="dxa"/>
            <w:gridSpan w:val="2"/>
            <w:vAlign w:val="center"/>
          </w:tcPr>
          <w:p w:rsidR="00ED61C7" w:rsidRPr="00093FC0" w:rsidRDefault="00ED61C7" w:rsidP="00597B94">
            <w:pPr>
              <w:jc w:val="center"/>
              <w:rPr>
                <w:rFonts w:ascii="宋体"/>
                <w:b/>
                <w:sz w:val="24"/>
                <w:szCs w:val="24"/>
              </w:rPr>
            </w:pPr>
            <w:r w:rsidRPr="00093FC0">
              <w:rPr>
                <w:rFonts w:ascii="宋体" w:hAnsi="宋体" w:hint="eastAsia"/>
                <w:b/>
                <w:sz w:val="24"/>
                <w:szCs w:val="24"/>
              </w:rPr>
              <w:t>名</w:t>
            </w:r>
            <w:r>
              <w:rPr>
                <w:rFonts w:ascii="宋体" w:hAnsi="宋体"/>
                <w:b/>
                <w:sz w:val="24"/>
                <w:szCs w:val="24"/>
              </w:rPr>
              <w:t xml:space="preserve">    </w:t>
            </w:r>
            <w:r w:rsidRPr="00093FC0">
              <w:rPr>
                <w:rFonts w:ascii="宋体" w:hAnsi="宋体" w:hint="eastAsia"/>
                <w:b/>
                <w:sz w:val="24"/>
                <w:szCs w:val="24"/>
              </w:rPr>
              <w:t>称</w:t>
            </w:r>
          </w:p>
        </w:tc>
        <w:tc>
          <w:tcPr>
            <w:tcW w:w="2064" w:type="dxa"/>
            <w:vAlign w:val="center"/>
          </w:tcPr>
          <w:p w:rsidR="00ED61C7" w:rsidRPr="00093FC0" w:rsidRDefault="00ED61C7" w:rsidP="00597B94">
            <w:pPr>
              <w:jc w:val="center"/>
              <w:rPr>
                <w:rFonts w:ascii="宋体"/>
                <w:b/>
                <w:sz w:val="24"/>
                <w:szCs w:val="24"/>
              </w:rPr>
            </w:pPr>
            <w:r w:rsidRPr="00093FC0">
              <w:rPr>
                <w:rFonts w:ascii="宋体" w:hAnsi="宋体" w:hint="eastAsia"/>
                <w:b/>
                <w:sz w:val="24"/>
                <w:szCs w:val="24"/>
              </w:rPr>
              <w:t>数</w:t>
            </w:r>
            <w:r>
              <w:rPr>
                <w:rFonts w:ascii="宋体" w:hAnsi="宋体"/>
                <w:b/>
                <w:sz w:val="24"/>
                <w:szCs w:val="24"/>
              </w:rPr>
              <w:t xml:space="preserve">  </w:t>
            </w:r>
            <w:r w:rsidRPr="00093FC0">
              <w:rPr>
                <w:rFonts w:ascii="宋体" w:hAnsi="宋体" w:hint="eastAsia"/>
                <w:b/>
                <w:sz w:val="24"/>
                <w:szCs w:val="24"/>
              </w:rPr>
              <w:t>据</w:t>
            </w:r>
          </w:p>
        </w:tc>
      </w:tr>
      <w:tr w:rsidR="00ED61C7" w:rsidRPr="00DE7E0E" w:rsidTr="00597B94">
        <w:trPr>
          <w:trHeight w:val="641"/>
          <w:jc w:val="center"/>
        </w:trPr>
        <w:tc>
          <w:tcPr>
            <w:tcW w:w="6232" w:type="dxa"/>
            <w:gridSpan w:val="2"/>
            <w:vAlign w:val="center"/>
          </w:tcPr>
          <w:p w:rsidR="00ED61C7" w:rsidRPr="00DE7E0E" w:rsidRDefault="00ED61C7" w:rsidP="00597B94">
            <w:r w:rsidRPr="00DE7E0E">
              <w:t>1.</w:t>
            </w:r>
            <w:r w:rsidRPr="00DE7E0E">
              <w:rPr>
                <w:rFonts w:hint="eastAsia"/>
              </w:rPr>
              <w:t>行政区域面积（</w:t>
            </w:r>
            <w:r w:rsidRPr="00DE7E0E">
              <w:rPr>
                <w:rFonts w:ascii="Arial" w:hAnsi="Arial" w:cs="Arial"/>
                <w:color w:val="333333"/>
                <w:sz w:val="20"/>
                <w:szCs w:val="20"/>
              </w:rPr>
              <w:t>km²</w:t>
            </w:r>
            <w:r w:rsidRPr="00DE7E0E">
              <w:rPr>
                <w:rFonts w:hint="eastAsia"/>
              </w:rPr>
              <w:t>）</w:t>
            </w:r>
          </w:p>
        </w:tc>
        <w:tc>
          <w:tcPr>
            <w:tcW w:w="2064" w:type="dxa"/>
            <w:vAlign w:val="center"/>
          </w:tcPr>
          <w:p w:rsidR="00ED61C7" w:rsidRPr="00DE7E0E" w:rsidRDefault="00ED61C7" w:rsidP="00597B94">
            <w:pPr>
              <w:jc w:val="center"/>
            </w:pPr>
          </w:p>
        </w:tc>
      </w:tr>
      <w:tr w:rsidR="00ED61C7" w:rsidRPr="00DE7E0E" w:rsidTr="00597B94">
        <w:trPr>
          <w:trHeight w:val="641"/>
          <w:jc w:val="center"/>
        </w:trPr>
        <w:tc>
          <w:tcPr>
            <w:tcW w:w="6232" w:type="dxa"/>
            <w:gridSpan w:val="2"/>
            <w:vAlign w:val="center"/>
          </w:tcPr>
          <w:p w:rsidR="00ED61C7" w:rsidRPr="00DE7E0E" w:rsidRDefault="00ED61C7" w:rsidP="00597B94">
            <w:r w:rsidRPr="00DE7E0E">
              <w:t>2.</w:t>
            </w:r>
            <w:r w:rsidRPr="00DE7E0E">
              <w:rPr>
                <w:rFonts w:hint="eastAsia"/>
              </w:rPr>
              <w:t>户籍人口</w:t>
            </w:r>
          </w:p>
        </w:tc>
        <w:tc>
          <w:tcPr>
            <w:tcW w:w="2064" w:type="dxa"/>
            <w:vAlign w:val="center"/>
          </w:tcPr>
          <w:p w:rsidR="00ED61C7" w:rsidRPr="00DE7E0E" w:rsidRDefault="00ED61C7" w:rsidP="00597B94">
            <w:pPr>
              <w:jc w:val="center"/>
            </w:pPr>
          </w:p>
        </w:tc>
      </w:tr>
      <w:tr w:rsidR="00ED61C7" w:rsidRPr="00DE7E0E" w:rsidTr="00597B94">
        <w:trPr>
          <w:trHeight w:val="641"/>
          <w:jc w:val="center"/>
        </w:trPr>
        <w:tc>
          <w:tcPr>
            <w:tcW w:w="2405" w:type="dxa"/>
            <w:vMerge w:val="restart"/>
            <w:vAlign w:val="center"/>
          </w:tcPr>
          <w:p w:rsidR="00ED61C7" w:rsidRPr="00DE7E0E" w:rsidRDefault="00ED61C7" w:rsidP="00597B94">
            <w:r w:rsidRPr="00DE7E0E">
              <w:t>3.</w:t>
            </w:r>
            <w:r w:rsidRPr="00DE7E0E">
              <w:rPr>
                <w:rFonts w:hint="eastAsia"/>
              </w:rPr>
              <w:t>常住人口</w:t>
            </w:r>
          </w:p>
        </w:tc>
        <w:tc>
          <w:tcPr>
            <w:tcW w:w="3827" w:type="dxa"/>
            <w:vAlign w:val="center"/>
          </w:tcPr>
          <w:p w:rsidR="00ED61C7" w:rsidRPr="00DE7E0E" w:rsidRDefault="00ED61C7" w:rsidP="00597B94">
            <w:r w:rsidRPr="00DE7E0E">
              <w:rPr>
                <w:rFonts w:hint="eastAsia"/>
              </w:rPr>
              <w:t>城市人口（万人）</w:t>
            </w:r>
          </w:p>
        </w:tc>
        <w:tc>
          <w:tcPr>
            <w:tcW w:w="2064" w:type="dxa"/>
            <w:vMerge w:val="restart"/>
            <w:vAlign w:val="center"/>
          </w:tcPr>
          <w:p w:rsidR="00ED61C7" w:rsidRPr="00DE7E0E" w:rsidRDefault="00ED61C7" w:rsidP="00597B94">
            <w:pPr>
              <w:jc w:val="center"/>
            </w:pPr>
          </w:p>
        </w:tc>
      </w:tr>
      <w:tr w:rsidR="00ED61C7" w:rsidRPr="00DE7E0E" w:rsidTr="00597B94">
        <w:trPr>
          <w:trHeight w:val="641"/>
          <w:jc w:val="center"/>
        </w:trPr>
        <w:tc>
          <w:tcPr>
            <w:tcW w:w="2405" w:type="dxa"/>
            <w:vMerge/>
            <w:vAlign w:val="center"/>
          </w:tcPr>
          <w:p w:rsidR="00ED61C7" w:rsidRPr="00DE7E0E" w:rsidRDefault="00ED61C7" w:rsidP="00597B94"/>
        </w:tc>
        <w:tc>
          <w:tcPr>
            <w:tcW w:w="3827" w:type="dxa"/>
            <w:vAlign w:val="center"/>
          </w:tcPr>
          <w:p w:rsidR="00ED61C7" w:rsidRPr="00DE7E0E" w:rsidRDefault="00ED61C7" w:rsidP="00597B94">
            <w:r w:rsidRPr="00DE7E0E">
              <w:rPr>
                <w:rFonts w:hint="eastAsia"/>
              </w:rPr>
              <w:t>农村人口（万人）</w:t>
            </w:r>
          </w:p>
        </w:tc>
        <w:tc>
          <w:tcPr>
            <w:tcW w:w="2064" w:type="dxa"/>
            <w:vMerge/>
            <w:vAlign w:val="center"/>
          </w:tcPr>
          <w:p w:rsidR="00ED61C7" w:rsidRPr="00DE7E0E" w:rsidRDefault="00ED61C7" w:rsidP="00597B94">
            <w:pPr>
              <w:jc w:val="center"/>
            </w:pPr>
          </w:p>
        </w:tc>
      </w:tr>
      <w:tr w:rsidR="00ED61C7" w:rsidRPr="00DE7E0E" w:rsidTr="00597B94">
        <w:trPr>
          <w:trHeight w:val="641"/>
          <w:jc w:val="center"/>
        </w:trPr>
        <w:tc>
          <w:tcPr>
            <w:tcW w:w="6232" w:type="dxa"/>
            <w:gridSpan w:val="2"/>
            <w:vAlign w:val="center"/>
          </w:tcPr>
          <w:p w:rsidR="00ED61C7" w:rsidRPr="00DE7E0E" w:rsidRDefault="00ED61C7" w:rsidP="00597B94">
            <w:r w:rsidRPr="00DE7E0E">
              <w:t>4.</w:t>
            </w:r>
            <w:r w:rsidRPr="00DE7E0E">
              <w:rPr>
                <w:rFonts w:hint="eastAsia"/>
              </w:rPr>
              <w:t>地区生产总值（亿元）</w:t>
            </w:r>
          </w:p>
        </w:tc>
        <w:tc>
          <w:tcPr>
            <w:tcW w:w="2064" w:type="dxa"/>
            <w:vAlign w:val="center"/>
          </w:tcPr>
          <w:p w:rsidR="00ED61C7" w:rsidRPr="00DE7E0E" w:rsidRDefault="00ED61C7" w:rsidP="00597B94">
            <w:pPr>
              <w:jc w:val="center"/>
            </w:pPr>
          </w:p>
        </w:tc>
      </w:tr>
      <w:tr w:rsidR="00ED61C7" w:rsidRPr="00DE7E0E" w:rsidTr="00597B94">
        <w:trPr>
          <w:trHeight w:val="641"/>
          <w:jc w:val="center"/>
        </w:trPr>
        <w:tc>
          <w:tcPr>
            <w:tcW w:w="6232" w:type="dxa"/>
            <w:gridSpan w:val="2"/>
            <w:vAlign w:val="center"/>
          </w:tcPr>
          <w:p w:rsidR="00ED61C7" w:rsidRPr="00DE7E0E" w:rsidRDefault="00ED61C7" w:rsidP="00597B94">
            <w:r w:rsidRPr="00DE7E0E">
              <w:t>5.</w:t>
            </w:r>
            <w:r w:rsidRPr="00DE7E0E">
              <w:rPr>
                <w:rFonts w:hint="eastAsia"/>
              </w:rPr>
              <w:t>规模以上工业增加值（亿元）</w:t>
            </w:r>
          </w:p>
        </w:tc>
        <w:tc>
          <w:tcPr>
            <w:tcW w:w="2064" w:type="dxa"/>
            <w:vAlign w:val="center"/>
          </w:tcPr>
          <w:p w:rsidR="00ED61C7" w:rsidRPr="00DE7E0E" w:rsidRDefault="00ED61C7" w:rsidP="00597B94">
            <w:pPr>
              <w:jc w:val="center"/>
            </w:pPr>
          </w:p>
        </w:tc>
      </w:tr>
      <w:tr w:rsidR="00ED61C7" w:rsidRPr="00DE7E0E" w:rsidTr="00597B94">
        <w:trPr>
          <w:trHeight w:val="641"/>
          <w:jc w:val="center"/>
        </w:trPr>
        <w:tc>
          <w:tcPr>
            <w:tcW w:w="6232" w:type="dxa"/>
            <w:gridSpan w:val="2"/>
            <w:vAlign w:val="center"/>
          </w:tcPr>
          <w:p w:rsidR="00ED61C7" w:rsidRPr="00DE7E0E" w:rsidRDefault="00ED61C7" w:rsidP="00597B94">
            <w:r w:rsidRPr="00DE7E0E">
              <w:t>6.</w:t>
            </w:r>
            <w:r w:rsidRPr="00DE7E0E">
              <w:rPr>
                <w:rFonts w:hint="eastAsia"/>
              </w:rPr>
              <w:t>财政收入（亿元）</w:t>
            </w:r>
          </w:p>
        </w:tc>
        <w:tc>
          <w:tcPr>
            <w:tcW w:w="2064" w:type="dxa"/>
            <w:vAlign w:val="center"/>
          </w:tcPr>
          <w:p w:rsidR="00ED61C7" w:rsidRPr="00DE7E0E" w:rsidRDefault="00ED61C7" w:rsidP="00597B94">
            <w:pPr>
              <w:jc w:val="center"/>
            </w:pPr>
          </w:p>
        </w:tc>
      </w:tr>
      <w:tr w:rsidR="00ED61C7" w:rsidRPr="00DE7E0E" w:rsidTr="00597B94">
        <w:trPr>
          <w:trHeight w:val="641"/>
          <w:jc w:val="center"/>
        </w:trPr>
        <w:tc>
          <w:tcPr>
            <w:tcW w:w="6232" w:type="dxa"/>
            <w:gridSpan w:val="2"/>
            <w:vAlign w:val="center"/>
          </w:tcPr>
          <w:p w:rsidR="00ED61C7" w:rsidRPr="00DE7E0E" w:rsidRDefault="00ED61C7" w:rsidP="00597B94">
            <w:r w:rsidRPr="00DE7E0E">
              <w:t>7.</w:t>
            </w:r>
            <w:r w:rsidRPr="00DE7E0E">
              <w:rPr>
                <w:rFonts w:hint="eastAsia"/>
              </w:rPr>
              <w:t>地方公共财政预算收入（亿元）</w:t>
            </w:r>
          </w:p>
        </w:tc>
        <w:tc>
          <w:tcPr>
            <w:tcW w:w="2064" w:type="dxa"/>
            <w:vAlign w:val="center"/>
          </w:tcPr>
          <w:p w:rsidR="00ED61C7" w:rsidRPr="00DE7E0E" w:rsidRDefault="00ED61C7" w:rsidP="00597B94">
            <w:pPr>
              <w:jc w:val="center"/>
            </w:pPr>
          </w:p>
        </w:tc>
      </w:tr>
      <w:tr w:rsidR="00ED61C7" w:rsidRPr="00DE7E0E" w:rsidTr="00597B94">
        <w:trPr>
          <w:trHeight w:val="680"/>
          <w:jc w:val="center"/>
        </w:trPr>
        <w:tc>
          <w:tcPr>
            <w:tcW w:w="2405" w:type="dxa"/>
            <w:vMerge w:val="restart"/>
            <w:vAlign w:val="center"/>
          </w:tcPr>
          <w:p w:rsidR="00ED61C7" w:rsidRPr="00DE7E0E" w:rsidRDefault="00ED61C7" w:rsidP="00597B94">
            <w:r w:rsidRPr="00DE7E0E">
              <w:t>8.</w:t>
            </w:r>
            <w:r w:rsidRPr="00DE7E0E">
              <w:rPr>
                <w:rFonts w:hint="eastAsia"/>
              </w:rPr>
              <w:t>第一、二、三产业分别占</w:t>
            </w:r>
            <w:r w:rsidRPr="00DE7E0E">
              <w:t>GDP</w:t>
            </w:r>
            <w:r w:rsidRPr="00DE7E0E">
              <w:rPr>
                <w:rFonts w:hint="eastAsia"/>
              </w:rPr>
              <w:t>比例</w:t>
            </w:r>
          </w:p>
        </w:tc>
        <w:tc>
          <w:tcPr>
            <w:tcW w:w="3827" w:type="dxa"/>
            <w:vAlign w:val="center"/>
          </w:tcPr>
          <w:p w:rsidR="00ED61C7" w:rsidRPr="00DE7E0E" w:rsidRDefault="00ED61C7" w:rsidP="00597B94">
            <w:r w:rsidRPr="00DE7E0E">
              <w:rPr>
                <w:rFonts w:hint="eastAsia"/>
              </w:rPr>
              <w:t>第一产业占</w:t>
            </w:r>
            <w:r w:rsidRPr="00DE7E0E">
              <w:t>GDP</w:t>
            </w:r>
            <w:r w:rsidRPr="00DE7E0E">
              <w:rPr>
                <w:rFonts w:hint="eastAsia"/>
              </w:rPr>
              <w:t>比例（</w:t>
            </w:r>
            <w:r w:rsidRPr="00DE7E0E">
              <w:t>%</w:t>
            </w:r>
            <w:r w:rsidRPr="00DE7E0E">
              <w:rPr>
                <w:rFonts w:hint="eastAsia"/>
              </w:rPr>
              <w:t>）</w:t>
            </w:r>
          </w:p>
        </w:tc>
        <w:tc>
          <w:tcPr>
            <w:tcW w:w="2064" w:type="dxa"/>
            <w:vMerge w:val="restart"/>
            <w:vAlign w:val="center"/>
          </w:tcPr>
          <w:p w:rsidR="00ED61C7" w:rsidRPr="00DE7E0E" w:rsidRDefault="00ED61C7" w:rsidP="00597B94">
            <w:pPr>
              <w:jc w:val="center"/>
            </w:pPr>
          </w:p>
        </w:tc>
      </w:tr>
      <w:tr w:rsidR="00ED61C7" w:rsidRPr="00DE7E0E" w:rsidTr="00597B94">
        <w:trPr>
          <w:trHeight w:val="680"/>
          <w:jc w:val="center"/>
        </w:trPr>
        <w:tc>
          <w:tcPr>
            <w:tcW w:w="2405" w:type="dxa"/>
            <w:vMerge/>
            <w:vAlign w:val="center"/>
          </w:tcPr>
          <w:p w:rsidR="00ED61C7" w:rsidRPr="00DE7E0E" w:rsidRDefault="00ED61C7" w:rsidP="00597B94"/>
        </w:tc>
        <w:tc>
          <w:tcPr>
            <w:tcW w:w="3827" w:type="dxa"/>
            <w:vAlign w:val="center"/>
          </w:tcPr>
          <w:p w:rsidR="00ED61C7" w:rsidRPr="00DE7E0E" w:rsidRDefault="00ED61C7" w:rsidP="00597B94">
            <w:r w:rsidRPr="00DE7E0E">
              <w:rPr>
                <w:rFonts w:hint="eastAsia"/>
              </w:rPr>
              <w:t>第二产业占</w:t>
            </w:r>
            <w:r w:rsidRPr="00DE7E0E">
              <w:t>GDP</w:t>
            </w:r>
            <w:r w:rsidRPr="00DE7E0E">
              <w:rPr>
                <w:rFonts w:hint="eastAsia"/>
              </w:rPr>
              <w:t>比例（</w:t>
            </w:r>
            <w:r w:rsidRPr="00DE7E0E">
              <w:t>%</w:t>
            </w:r>
            <w:r w:rsidRPr="00DE7E0E">
              <w:rPr>
                <w:rFonts w:hint="eastAsia"/>
              </w:rPr>
              <w:t>）</w:t>
            </w:r>
          </w:p>
        </w:tc>
        <w:tc>
          <w:tcPr>
            <w:tcW w:w="2064" w:type="dxa"/>
            <w:vMerge/>
            <w:vAlign w:val="center"/>
          </w:tcPr>
          <w:p w:rsidR="00ED61C7" w:rsidRPr="00DE7E0E" w:rsidRDefault="00ED61C7" w:rsidP="00597B94">
            <w:pPr>
              <w:jc w:val="center"/>
            </w:pPr>
          </w:p>
        </w:tc>
      </w:tr>
      <w:tr w:rsidR="00ED61C7" w:rsidRPr="00DE7E0E" w:rsidTr="00597B94">
        <w:trPr>
          <w:trHeight w:val="680"/>
          <w:jc w:val="center"/>
        </w:trPr>
        <w:tc>
          <w:tcPr>
            <w:tcW w:w="2405" w:type="dxa"/>
            <w:vMerge/>
            <w:vAlign w:val="center"/>
          </w:tcPr>
          <w:p w:rsidR="00ED61C7" w:rsidRPr="00DE7E0E" w:rsidRDefault="00ED61C7" w:rsidP="00597B94"/>
        </w:tc>
        <w:tc>
          <w:tcPr>
            <w:tcW w:w="3827" w:type="dxa"/>
            <w:vAlign w:val="center"/>
          </w:tcPr>
          <w:p w:rsidR="00ED61C7" w:rsidRPr="00DE7E0E" w:rsidRDefault="00ED61C7" w:rsidP="00597B94">
            <w:r w:rsidRPr="00DE7E0E">
              <w:rPr>
                <w:rFonts w:hint="eastAsia"/>
              </w:rPr>
              <w:t>第三产业占</w:t>
            </w:r>
            <w:r w:rsidRPr="00DE7E0E">
              <w:t>GDP</w:t>
            </w:r>
            <w:r w:rsidRPr="00DE7E0E">
              <w:rPr>
                <w:rFonts w:hint="eastAsia"/>
              </w:rPr>
              <w:t>比例（</w:t>
            </w:r>
            <w:r w:rsidRPr="00DE7E0E">
              <w:t>%</w:t>
            </w:r>
            <w:r w:rsidRPr="00DE7E0E">
              <w:rPr>
                <w:rFonts w:hint="eastAsia"/>
              </w:rPr>
              <w:t>）</w:t>
            </w:r>
          </w:p>
        </w:tc>
        <w:tc>
          <w:tcPr>
            <w:tcW w:w="2064" w:type="dxa"/>
            <w:vMerge/>
            <w:vAlign w:val="center"/>
          </w:tcPr>
          <w:p w:rsidR="00ED61C7" w:rsidRPr="00DE7E0E" w:rsidRDefault="00ED61C7" w:rsidP="00597B94">
            <w:pPr>
              <w:jc w:val="center"/>
            </w:pPr>
          </w:p>
        </w:tc>
      </w:tr>
      <w:tr w:rsidR="00ED61C7" w:rsidRPr="00DE7E0E" w:rsidTr="00597B94">
        <w:trPr>
          <w:trHeight w:val="680"/>
          <w:jc w:val="center"/>
        </w:trPr>
        <w:tc>
          <w:tcPr>
            <w:tcW w:w="2405" w:type="dxa"/>
            <w:vMerge w:val="restart"/>
            <w:vAlign w:val="center"/>
          </w:tcPr>
          <w:p w:rsidR="00ED61C7" w:rsidRPr="00DE7E0E" w:rsidRDefault="00ED61C7" w:rsidP="00597B94">
            <w:r w:rsidRPr="00DE7E0E">
              <w:t>9.</w:t>
            </w:r>
            <w:r w:rsidRPr="00DE7E0E">
              <w:rPr>
                <w:rFonts w:hint="eastAsia"/>
              </w:rPr>
              <w:t>科技管理部门基本情况</w:t>
            </w:r>
          </w:p>
        </w:tc>
        <w:tc>
          <w:tcPr>
            <w:tcW w:w="3827" w:type="dxa"/>
            <w:vAlign w:val="center"/>
          </w:tcPr>
          <w:p w:rsidR="00ED61C7" w:rsidRPr="00DE7E0E" w:rsidRDefault="00ED61C7" w:rsidP="00597B94">
            <w:r w:rsidRPr="00DE7E0E">
              <w:rPr>
                <w:rFonts w:hint="eastAsia"/>
              </w:rPr>
              <w:t>科技管理部门名称</w:t>
            </w:r>
          </w:p>
        </w:tc>
        <w:tc>
          <w:tcPr>
            <w:tcW w:w="2064" w:type="dxa"/>
            <w:vMerge w:val="restart"/>
            <w:vAlign w:val="center"/>
          </w:tcPr>
          <w:p w:rsidR="00ED61C7" w:rsidRPr="00DE7E0E" w:rsidRDefault="00ED61C7" w:rsidP="00597B94">
            <w:pPr>
              <w:jc w:val="center"/>
            </w:pPr>
          </w:p>
        </w:tc>
      </w:tr>
      <w:tr w:rsidR="00ED61C7" w:rsidRPr="00DE7E0E" w:rsidTr="00597B94">
        <w:trPr>
          <w:trHeight w:val="680"/>
          <w:jc w:val="center"/>
        </w:trPr>
        <w:tc>
          <w:tcPr>
            <w:tcW w:w="2405" w:type="dxa"/>
            <w:vMerge/>
            <w:vAlign w:val="center"/>
          </w:tcPr>
          <w:p w:rsidR="00ED61C7" w:rsidRPr="00DE7E0E" w:rsidRDefault="00ED61C7" w:rsidP="00597B94"/>
        </w:tc>
        <w:tc>
          <w:tcPr>
            <w:tcW w:w="3827" w:type="dxa"/>
            <w:vAlign w:val="center"/>
          </w:tcPr>
          <w:p w:rsidR="00ED61C7" w:rsidRPr="00DE7E0E" w:rsidRDefault="00ED61C7" w:rsidP="00597B94">
            <w:r w:rsidRPr="00DE7E0E">
              <w:rPr>
                <w:rFonts w:hint="eastAsia"/>
              </w:rPr>
              <w:t>科技管理人员数</w:t>
            </w:r>
          </w:p>
        </w:tc>
        <w:tc>
          <w:tcPr>
            <w:tcW w:w="2064" w:type="dxa"/>
            <w:vMerge/>
            <w:vAlign w:val="center"/>
          </w:tcPr>
          <w:p w:rsidR="00ED61C7" w:rsidRPr="00DE7E0E" w:rsidRDefault="00ED61C7" w:rsidP="00597B94">
            <w:pPr>
              <w:jc w:val="center"/>
            </w:pPr>
          </w:p>
        </w:tc>
      </w:tr>
      <w:tr w:rsidR="00ED61C7" w:rsidRPr="00DE7E0E" w:rsidTr="00597B94">
        <w:trPr>
          <w:trHeight w:val="680"/>
          <w:jc w:val="center"/>
        </w:trPr>
        <w:tc>
          <w:tcPr>
            <w:tcW w:w="2405" w:type="dxa"/>
            <w:vMerge/>
            <w:vAlign w:val="center"/>
          </w:tcPr>
          <w:p w:rsidR="00ED61C7" w:rsidRPr="00DE7E0E" w:rsidRDefault="00ED61C7" w:rsidP="00597B94"/>
        </w:tc>
        <w:tc>
          <w:tcPr>
            <w:tcW w:w="3827" w:type="dxa"/>
            <w:vAlign w:val="center"/>
          </w:tcPr>
          <w:p w:rsidR="00ED61C7" w:rsidRPr="00DE7E0E" w:rsidRDefault="00ED61C7" w:rsidP="00597B94">
            <w:r w:rsidRPr="00DE7E0E">
              <w:rPr>
                <w:rFonts w:hint="eastAsia"/>
              </w:rPr>
              <w:t>科技管理部门直接管理的本级科学技术支出（万元）</w:t>
            </w:r>
          </w:p>
        </w:tc>
        <w:tc>
          <w:tcPr>
            <w:tcW w:w="2064" w:type="dxa"/>
            <w:vMerge/>
            <w:vAlign w:val="center"/>
          </w:tcPr>
          <w:p w:rsidR="00ED61C7" w:rsidRPr="00DE7E0E" w:rsidRDefault="00ED61C7" w:rsidP="00597B94">
            <w:pPr>
              <w:jc w:val="center"/>
            </w:pPr>
          </w:p>
        </w:tc>
      </w:tr>
      <w:tr w:rsidR="00ED61C7" w:rsidRPr="00DE7E0E" w:rsidTr="00597B94">
        <w:trPr>
          <w:trHeight w:val="505"/>
          <w:jc w:val="center"/>
        </w:trPr>
        <w:tc>
          <w:tcPr>
            <w:tcW w:w="6232" w:type="dxa"/>
            <w:gridSpan w:val="2"/>
            <w:vAlign w:val="center"/>
          </w:tcPr>
          <w:p w:rsidR="00ED61C7" w:rsidRPr="00DE7E0E" w:rsidRDefault="00ED61C7" w:rsidP="00597B94">
            <w:r w:rsidRPr="00DE7E0E">
              <w:t>10.2013-2017</w:t>
            </w:r>
            <w:r w:rsidRPr="00DE7E0E">
              <w:rPr>
                <w:rFonts w:hint="eastAsia"/>
              </w:rPr>
              <w:t>年获得国家级荣誉称号情况</w:t>
            </w:r>
          </w:p>
        </w:tc>
        <w:tc>
          <w:tcPr>
            <w:tcW w:w="2064" w:type="dxa"/>
            <w:vAlign w:val="center"/>
          </w:tcPr>
          <w:p w:rsidR="00ED61C7" w:rsidRPr="00DE7E0E" w:rsidRDefault="00ED61C7" w:rsidP="00597B94">
            <w:pPr>
              <w:jc w:val="center"/>
            </w:pPr>
          </w:p>
        </w:tc>
      </w:tr>
    </w:tbl>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hint="eastAsia"/>
          <w:sz w:val="24"/>
          <w:szCs w:val="24"/>
        </w:rPr>
        <w:t>注：均为</w:t>
      </w:r>
      <w:r w:rsidRPr="00093FC0">
        <w:rPr>
          <w:rFonts w:ascii="宋体" w:hAnsi="宋体"/>
          <w:sz w:val="24"/>
          <w:szCs w:val="24"/>
        </w:rPr>
        <w:t>2017</w:t>
      </w:r>
      <w:r w:rsidRPr="00093FC0">
        <w:rPr>
          <w:rFonts w:ascii="宋体" w:hAnsi="宋体" w:hint="eastAsia"/>
          <w:sz w:val="24"/>
          <w:szCs w:val="24"/>
        </w:rPr>
        <w:t>年数据</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hint="eastAsia"/>
          <w:sz w:val="24"/>
          <w:szCs w:val="24"/>
        </w:rPr>
        <w:t>基本情况：</w:t>
      </w:r>
    </w:p>
    <w:p w:rsidR="00ED61C7" w:rsidRPr="00093FC0" w:rsidRDefault="00ED61C7" w:rsidP="00093FC0">
      <w:pPr>
        <w:snapToGrid w:val="0"/>
        <w:spacing w:line="520" w:lineRule="exact"/>
        <w:ind w:firstLineChars="200" w:firstLine="480"/>
        <w:rPr>
          <w:rFonts w:ascii="宋体" w:cs="Arial"/>
          <w:color w:val="333333"/>
          <w:sz w:val="24"/>
          <w:szCs w:val="24"/>
        </w:rPr>
      </w:pPr>
      <w:r w:rsidRPr="00093FC0">
        <w:rPr>
          <w:rFonts w:ascii="宋体" w:hAnsi="宋体"/>
          <w:sz w:val="24"/>
          <w:szCs w:val="24"/>
        </w:rPr>
        <w:t>1.</w:t>
      </w:r>
      <w:r w:rsidRPr="00093FC0">
        <w:rPr>
          <w:rFonts w:ascii="宋体" w:hAnsi="宋体" w:hint="eastAsia"/>
          <w:sz w:val="24"/>
          <w:szCs w:val="24"/>
        </w:rPr>
        <w:t>行政区域面积（</w:t>
      </w:r>
      <w:r w:rsidRPr="00093FC0">
        <w:rPr>
          <w:rFonts w:ascii="宋体" w:hAnsi="宋体" w:cs="Arial"/>
          <w:color w:val="333333"/>
          <w:sz w:val="24"/>
          <w:szCs w:val="24"/>
        </w:rPr>
        <w:t>km</w:t>
      </w:r>
      <w:r w:rsidRPr="00093FC0">
        <w:rPr>
          <w:rFonts w:ascii="宋体" w:hAnsi="宋体" w:cs="Calibri" w:hint="eastAsia"/>
          <w:color w:val="333333"/>
          <w:sz w:val="24"/>
          <w:szCs w:val="24"/>
        </w:rPr>
        <w:t>²</w:t>
      </w:r>
      <w:r w:rsidRPr="00093FC0">
        <w:rPr>
          <w:rFonts w:ascii="宋体" w:hAnsi="宋体" w:hint="eastAsia"/>
          <w:sz w:val="24"/>
          <w:szCs w:val="24"/>
        </w:rPr>
        <w:t>）。该指标为总量型指标，单位为</w:t>
      </w:r>
      <w:r w:rsidRPr="00093FC0">
        <w:rPr>
          <w:rFonts w:ascii="宋体" w:hAnsi="宋体" w:cs="Arial"/>
          <w:color w:val="333333"/>
          <w:sz w:val="24"/>
          <w:szCs w:val="24"/>
        </w:rPr>
        <w:t>km</w:t>
      </w:r>
      <w:r w:rsidRPr="00093FC0">
        <w:rPr>
          <w:rFonts w:ascii="宋体" w:hAnsi="宋体" w:cs="Calibri" w:hint="eastAsia"/>
          <w:color w:val="333333"/>
          <w:sz w:val="24"/>
          <w:szCs w:val="24"/>
        </w:rPr>
        <w:t>²</w:t>
      </w:r>
      <w:r w:rsidRPr="00093FC0">
        <w:rPr>
          <w:rFonts w:ascii="宋体" w:hAnsi="宋体" w:cs="Arial" w:hint="eastAsia"/>
          <w:color w:val="333333"/>
          <w:sz w:val="24"/>
          <w:szCs w:val="24"/>
        </w:rPr>
        <w:t>。</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lastRenderedPageBreak/>
        <w:t>2.</w:t>
      </w:r>
      <w:r w:rsidRPr="00093FC0">
        <w:rPr>
          <w:rFonts w:ascii="宋体" w:hAnsi="宋体" w:hint="eastAsia"/>
          <w:sz w:val="24"/>
          <w:szCs w:val="24"/>
        </w:rPr>
        <w:t>户籍人口（万人）。户籍人口是指公民依《中华人民共和国户口登记条例》已在其常居住地的公安户籍管理机关登记了常住户口的人。</w:t>
      </w:r>
    </w:p>
    <w:p w:rsidR="00ED61C7" w:rsidRPr="00093FC0" w:rsidRDefault="00ED61C7" w:rsidP="00093FC0">
      <w:pPr>
        <w:snapToGrid w:val="0"/>
        <w:spacing w:line="520" w:lineRule="exact"/>
        <w:ind w:firstLineChars="200" w:firstLine="480"/>
        <w:rPr>
          <w:rFonts w:ascii="宋体"/>
          <w:spacing w:val="-10"/>
          <w:sz w:val="24"/>
          <w:szCs w:val="24"/>
        </w:rPr>
      </w:pPr>
      <w:r w:rsidRPr="00093FC0">
        <w:rPr>
          <w:rFonts w:ascii="宋体" w:hAnsi="宋体"/>
          <w:sz w:val="24"/>
          <w:szCs w:val="24"/>
        </w:rPr>
        <w:t>3.</w:t>
      </w:r>
      <w:r w:rsidRPr="00093FC0">
        <w:rPr>
          <w:rFonts w:ascii="宋体" w:hAnsi="宋体" w:hint="eastAsia"/>
          <w:spacing w:val="-10"/>
          <w:sz w:val="24"/>
          <w:szCs w:val="24"/>
        </w:rPr>
        <w:t>常住人口</w:t>
      </w:r>
      <w:r w:rsidRPr="00093FC0">
        <w:rPr>
          <w:rFonts w:ascii="宋体" w:hAnsi="宋体"/>
          <w:spacing w:val="-10"/>
          <w:sz w:val="24"/>
          <w:szCs w:val="24"/>
        </w:rPr>
        <w:t>(</w:t>
      </w:r>
      <w:r w:rsidRPr="00093FC0">
        <w:rPr>
          <w:rFonts w:ascii="宋体" w:hAnsi="宋体" w:hint="eastAsia"/>
          <w:spacing w:val="-10"/>
          <w:sz w:val="24"/>
          <w:szCs w:val="24"/>
        </w:rPr>
        <w:t>万人</w:t>
      </w:r>
      <w:r w:rsidRPr="00093FC0">
        <w:rPr>
          <w:rFonts w:ascii="宋体" w:hAnsi="宋体"/>
          <w:spacing w:val="-10"/>
          <w:sz w:val="24"/>
          <w:szCs w:val="24"/>
        </w:rPr>
        <w:t>)</w:t>
      </w:r>
      <w:r w:rsidRPr="00093FC0">
        <w:rPr>
          <w:rFonts w:ascii="宋体" w:hAnsi="宋体" w:hint="eastAsia"/>
          <w:spacing w:val="-10"/>
          <w:sz w:val="24"/>
          <w:szCs w:val="24"/>
        </w:rPr>
        <w:t>。该指标为总量型指标，单位为万人，保留小数点后两位。</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4.</w:t>
      </w:r>
      <w:r w:rsidRPr="00093FC0">
        <w:rPr>
          <w:rFonts w:ascii="宋体" w:hAnsi="宋体" w:hint="eastAsia"/>
          <w:sz w:val="24"/>
          <w:szCs w:val="24"/>
        </w:rPr>
        <w:t>地区生产总值（</w:t>
      </w:r>
      <w:r w:rsidRPr="00093FC0">
        <w:rPr>
          <w:rFonts w:ascii="宋体" w:hAnsi="宋体"/>
          <w:sz w:val="24"/>
          <w:szCs w:val="24"/>
        </w:rPr>
        <w:t>GDP</w:t>
      </w:r>
      <w:r w:rsidRPr="00093FC0">
        <w:rPr>
          <w:rFonts w:ascii="宋体" w:hAnsi="宋体" w:hint="eastAsia"/>
          <w:sz w:val="24"/>
          <w:szCs w:val="24"/>
        </w:rPr>
        <w:t>）（亿元）。该指标为总量型指标，保留小数点后两位。</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5.</w:t>
      </w:r>
      <w:r w:rsidRPr="00093FC0">
        <w:rPr>
          <w:rFonts w:ascii="宋体" w:hAnsi="宋体" w:hint="eastAsia"/>
          <w:sz w:val="24"/>
          <w:szCs w:val="24"/>
        </w:rPr>
        <w:t>规模以上工业增加（亿元）。是指年主营收入大于</w:t>
      </w:r>
      <w:r w:rsidRPr="00093FC0">
        <w:rPr>
          <w:rFonts w:ascii="宋体" w:hAnsi="宋体"/>
          <w:sz w:val="24"/>
          <w:szCs w:val="24"/>
        </w:rPr>
        <w:t>2000</w:t>
      </w:r>
      <w:r w:rsidRPr="00093FC0">
        <w:rPr>
          <w:rFonts w:ascii="宋体" w:hAnsi="宋体" w:hint="eastAsia"/>
          <w:sz w:val="24"/>
          <w:szCs w:val="24"/>
        </w:rPr>
        <w:t>万的工业企业或者国有工业企业在报告期内以货币形式表现的工业生产活动的最终成果。</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6.</w:t>
      </w:r>
      <w:r w:rsidRPr="00093FC0">
        <w:rPr>
          <w:rFonts w:ascii="宋体" w:hAnsi="宋体" w:hint="eastAsia"/>
          <w:sz w:val="24"/>
          <w:szCs w:val="24"/>
        </w:rPr>
        <w:t>财政收入（亿元）。是指政府为履行其职能、实施公共政策和提供公共物品与服务需要而筹集的一切资金的总和。</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7.</w:t>
      </w:r>
      <w:r w:rsidRPr="00093FC0">
        <w:rPr>
          <w:rFonts w:ascii="宋体" w:hAnsi="宋体" w:hint="eastAsia"/>
          <w:sz w:val="24"/>
          <w:szCs w:val="24"/>
        </w:rPr>
        <w:t>地方公共财政预算收入（亿元）。公共财政预算收入是指政府凭借国家政治权利，以社会管理者身份筹集以税收为主体的财政收入，主要用于保障和改善民生、维持国家行政职能正常运转、保障国家安全等方面。</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8.</w:t>
      </w:r>
      <w:r w:rsidRPr="00093FC0">
        <w:rPr>
          <w:rFonts w:ascii="宋体" w:hAnsi="宋体" w:hint="eastAsia"/>
          <w:sz w:val="24"/>
          <w:szCs w:val="24"/>
        </w:rPr>
        <w:t>第一、二、三产业分别占</w:t>
      </w:r>
      <w:r w:rsidRPr="00093FC0">
        <w:rPr>
          <w:rFonts w:ascii="宋体" w:hAnsi="宋体"/>
          <w:sz w:val="24"/>
          <w:szCs w:val="24"/>
        </w:rPr>
        <w:t>GDP</w:t>
      </w:r>
      <w:r w:rsidRPr="00093FC0">
        <w:rPr>
          <w:rFonts w:ascii="宋体" w:hAnsi="宋体" w:hint="eastAsia"/>
          <w:sz w:val="24"/>
          <w:szCs w:val="24"/>
        </w:rPr>
        <w:t>比例（</w:t>
      </w:r>
      <w:r w:rsidRPr="00093FC0">
        <w:rPr>
          <w:rFonts w:ascii="宋体" w:hAnsi="宋体"/>
          <w:sz w:val="24"/>
          <w:szCs w:val="24"/>
        </w:rPr>
        <w:t>%</w:t>
      </w:r>
      <w:r w:rsidRPr="00093FC0">
        <w:rPr>
          <w:rFonts w:ascii="宋体" w:hAnsi="宋体" w:hint="eastAsia"/>
          <w:sz w:val="24"/>
          <w:szCs w:val="24"/>
        </w:rPr>
        <w:t>）。该指标为比例型指标，保留小数点后两位。</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9.</w:t>
      </w:r>
      <w:r w:rsidRPr="00093FC0">
        <w:rPr>
          <w:rFonts w:ascii="宋体" w:hAnsi="宋体" w:hint="eastAsia"/>
          <w:sz w:val="24"/>
          <w:szCs w:val="24"/>
        </w:rPr>
        <w:t>科技管理部门基本情况。以科技行政管理部门提供数据为准填报。</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9.1</w:t>
      </w:r>
      <w:r w:rsidRPr="00093FC0">
        <w:rPr>
          <w:rFonts w:ascii="宋体" w:hAnsi="宋体" w:hint="eastAsia"/>
          <w:sz w:val="24"/>
          <w:szCs w:val="24"/>
        </w:rPr>
        <w:t>科技管理部门名称。以本级编办“三定方案”为准。</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9.2</w:t>
      </w:r>
      <w:r w:rsidRPr="00093FC0">
        <w:rPr>
          <w:rFonts w:ascii="宋体" w:hAnsi="宋体" w:hint="eastAsia"/>
          <w:sz w:val="24"/>
          <w:szCs w:val="24"/>
        </w:rPr>
        <w:t>科技管理人员数（人）。科技管理部门在职人员数。</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9.3</w:t>
      </w:r>
      <w:r w:rsidRPr="00093FC0">
        <w:rPr>
          <w:rFonts w:ascii="宋体" w:hAnsi="宋体" w:hint="eastAsia"/>
          <w:sz w:val="24"/>
          <w:szCs w:val="24"/>
        </w:rPr>
        <w:t>科技管理部门直接管理的本级科学技术支出（万元）。指本级财政科学技术支出中</w:t>
      </w:r>
      <w:proofErr w:type="gramStart"/>
      <w:r w:rsidRPr="00093FC0">
        <w:rPr>
          <w:rFonts w:ascii="宋体" w:hAnsi="宋体" w:hint="eastAsia"/>
          <w:sz w:val="24"/>
          <w:szCs w:val="24"/>
        </w:rPr>
        <w:t>归科技</w:t>
      </w:r>
      <w:proofErr w:type="gramEnd"/>
      <w:r w:rsidRPr="00093FC0">
        <w:rPr>
          <w:rFonts w:ascii="宋体" w:hAnsi="宋体" w:hint="eastAsia"/>
          <w:sz w:val="24"/>
          <w:szCs w:val="24"/>
        </w:rPr>
        <w:t>管理部门支配的部分。单位为万元，保留小数点后两位。</w:t>
      </w:r>
    </w:p>
    <w:p w:rsidR="00ED61C7" w:rsidRPr="00093FC0" w:rsidRDefault="00ED61C7" w:rsidP="00093FC0">
      <w:pPr>
        <w:snapToGrid w:val="0"/>
        <w:spacing w:line="520" w:lineRule="exact"/>
        <w:ind w:firstLineChars="200" w:firstLine="480"/>
        <w:rPr>
          <w:rFonts w:ascii="宋体"/>
          <w:sz w:val="24"/>
          <w:szCs w:val="24"/>
        </w:rPr>
      </w:pPr>
      <w:r w:rsidRPr="00093FC0">
        <w:rPr>
          <w:rFonts w:ascii="宋体" w:hAnsi="宋体"/>
          <w:sz w:val="24"/>
          <w:szCs w:val="24"/>
        </w:rPr>
        <w:t>10.2013-2017</w:t>
      </w:r>
      <w:r w:rsidRPr="00093FC0">
        <w:rPr>
          <w:rFonts w:ascii="宋体" w:hAnsi="宋体" w:hint="eastAsia"/>
          <w:sz w:val="24"/>
          <w:szCs w:val="24"/>
        </w:rPr>
        <w:t>年内获得国家级荣誉称号情况。指</w:t>
      </w:r>
      <w:r w:rsidRPr="00093FC0">
        <w:rPr>
          <w:rFonts w:ascii="宋体" w:hAnsi="宋体"/>
          <w:sz w:val="24"/>
          <w:szCs w:val="24"/>
        </w:rPr>
        <w:t>2013</w:t>
      </w:r>
      <w:r w:rsidRPr="00093FC0">
        <w:rPr>
          <w:rFonts w:ascii="宋体" w:hAnsi="宋体" w:hint="eastAsia"/>
          <w:sz w:val="24"/>
          <w:szCs w:val="24"/>
        </w:rPr>
        <w:t>年至</w:t>
      </w:r>
      <w:r w:rsidRPr="00093FC0">
        <w:rPr>
          <w:rFonts w:ascii="宋体" w:hAnsi="宋体"/>
          <w:sz w:val="24"/>
          <w:szCs w:val="24"/>
        </w:rPr>
        <w:t>2017</w:t>
      </w:r>
      <w:r w:rsidRPr="00093FC0">
        <w:rPr>
          <w:rFonts w:ascii="宋体" w:hAnsi="宋体" w:hint="eastAsia"/>
          <w:sz w:val="24"/>
          <w:szCs w:val="24"/>
        </w:rPr>
        <w:t>年内当地政府获得的国家荣誉称号，以政府工作报告或政府公报公布数据为准填报，如科普示范县等国家级荣誉称号。</w:t>
      </w:r>
    </w:p>
    <w:p w:rsidR="00ED61C7" w:rsidRPr="00093FC0" w:rsidRDefault="00ED61C7" w:rsidP="00093FC0">
      <w:pPr>
        <w:snapToGrid w:val="0"/>
        <w:spacing w:line="520" w:lineRule="exact"/>
        <w:rPr>
          <w:rFonts w:ascii="宋体"/>
        </w:rPr>
      </w:pPr>
    </w:p>
    <w:p w:rsidR="00ED61C7" w:rsidRPr="00093FC0" w:rsidRDefault="00ED61C7" w:rsidP="00093FC0">
      <w:pPr>
        <w:snapToGrid w:val="0"/>
        <w:spacing w:line="520" w:lineRule="exact"/>
        <w:rPr>
          <w:rFonts w:ascii="宋体"/>
        </w:rPr>
      </w:pPr>
    </w:p>
    <w:sectPr w:rsidR="00ED61C7" w:rsidRPr="00093FC0" w:rsidSect="00EA7B72">
      <w:pgSz w:w="11906" w:h="16838"/>
      <w:pgMar w:top="1440" w:right="1797" w:bottom="1440" w:left="1797"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FF" w:rsidRDefault="00022AFF" w:rsidP="003E49B2">
      <w:r>
        <w:separator/>
      </w:r>
    </w:p>
  </w:endnote>
  <w:endnote w:type="continuationSeparator" w:id="0">
    <w:p w:rsidR="00022AFF" w:rsidRDefault="00022AFF" w:rsidP="003E4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FF" w:rsidRDefault="00022AFF" w:rsidP="003E49B2">
      <w:r>
        <w:separator/>
      </w:r>
    </w:p>
  </w:footnote>
  <w:footnote w:type="continuationSeparator" w:id="0">
    <w:p w:rsidR="00022AFF" w:rsidRDefault="00022AFF" w:rsidP="003E4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F6C"/>
    <w:rsid w:val="00022AFF"/>
    <w:rsid w:val="00075223"/>
    <w:rsid w:val="00093FC0"/>
    <w:rsid w:val="000E1FAC"/>
    <w:rsid w:val="000F3D44"/>
    <w:rsid w:val="00124265"/>
    <w:rsid w:val="0013278E"/>
    <w:rsid w:val="00161855"/>
    <w:rsid w:val="001A41CA"/>
    <w:rsid w:val="001D7FE1"/>
    <w:rsid w:val="00226802"/>
    <w:rsid w:val="00265923"/>
    <w:rsid w:val="002C7824"/>
    <w:rsid w:val="002F59B9"/>
    <w:rsid w:val="002F6D0E"/>
    <w:rsid w:val="00372F6C"/>
    <w:rsid w:val="003E0C0B"/>
    <w:rsid w:val="003E49B2"/>
    <w:rsid w:val="003F5B9C"/>
    <w:rsid w:val="00426EBD"/>
    <w:rsid w:val="004C0660"/>
    <w:rsid w:val="005441D6"/>
    <w:rsid w:val="00597B94"/>
    <w:rsid w:val="005B2C7B"/>
    <w:rsid w:val="005B5177"/>
    <w:rsid w:val="005E0F00"/>
    <w:rsid w:val="005F030E"/>
    <w:rsid w:val="006562AB"/>
    <w:rsid w:val="006A53E4"/>
    <w:rsid w:val="006D0ACF"/>
    <w:rsid w:val="00712DB7"/>
    <w:rsid w:val="0076210C"/>
    <w:rsid w:val="007724AA"/>
    <w:rsid w:val="00785FE3"/>
    <w:rsid w:val="00807D06"/>
    <w:rsid w:val="0083417C"/>
    <w:rsid w:val="008535AA"/>
    <w:rsid w:val="00882A6D"/>
    <w:rsid w:val="00902146"/>
    <w:rsid w:val="00912D1B"/>
    <w:rsid w:val="009B407A"/>
    <w:rsid w:val="009E3CB8"/>
    <w:rsid w:val="009E7A9D"/>
    <w:rsid w:val="00AF1EA5"/>
    <w:rsid w:val="00B529BC"/>
    <w:rsid w:val="00C61394"/>
    <w:rsid w:val="00CD36AF"/>
    <w:rsid w:val="00CE60E4"/>
    <w:rsid w:val="00CF6502"/>
    <w:rsid w:val="00D71DA0"/>
    <w:rsid w:val="00DD0E35"/>
    <w:rsid w:val="00DD1F01"/>
    <w:rsid w:val="00DD5F7A"/>
    <w:rsid w:val="00DE7E0E"/>
    <w:rsid w:val="00E41721"/>
    <w:rsid w:val="00E51875"/>
    <w:rsid w:val="00E657E8"/>
    <w:rsid w:val="00EA7B72"/>
    <w:rsid w:val="00EC2C8A"/>
    <w:rsid w:val="00ED61C7"/>
    <w:rsid w:val="00EF7658"/>
    <w:rsid w:val="00F20EA7"/>
    <w:rsid w:val="00F603D9"/>
    <w:rsid w:val="00FB4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24265"/>
    <w:pPr>
      <w:ind w:leftChars="2500" w:left="100"/>
    </w:pPr>
  </w:style>
  <w:style w:type="character" w:customStyle="1" w:styleId="Char">
    <w:name w:val="日期 Char"/>
    <w:link w:val="a3"/>
    <w:uiPriority w:val="99"/>
    <w:semiHidden/>
    <w:locked/>
    <w:rsid w:val="00124265"/>
    <w:rPr>
      <w:rFonts w:cs="Times New Roman"/>
    </w:rPr>
  </w:style>
  <w:style w:type="paragraph" w:styleId="a4">
    <w:name w:val="List Paragraph"/>
    <w:basedOn w:val="a"/>
    <w:uiPriority w:val="99"/>
    <w:qFormat/>
    <w:rsid w:val="00124265"/>
    <w:pPr>
      <w:ind w:firstLineChars="200" w:firstLine="420"/>
    </w:pPr>
  </w:style>
  <w:style w:type="paragraph" w:styleId="a5">
    <w:name w:val="header"/>
    <w:basedOn w:val="a"/>
    <w:link w:val="Char0"/>
    <w:uiPriority w:val="99"/>
    <w:rsid w:val="003E49B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3E49B2"/>
    <w:rPr>
      <w:rFonts w:cs="Times New Roman"/>
      <w:sz w:val="18"/>
      <w:szCs w:val="18"/>
    </w:rPr>
  </w:style>
  <w:style w:type="paragraph" w:styleId="a6">
    <w:name w:val="footer"/>
    <w:basedOn w:val="a"/>
    <w:link w:val="Char1"/>
    <w:uiPriority w:val="99"/>
    <w:rsid w:val="003E49B2"/>
    <w:pPr>
      <w:tabs>
        <w:tab w:val="center" w:pos="4153"/>
        <w:tab w:val="right" w:pos="8306"/>
      </w:tabs>
      <w:snapToGrid w:val="0"/>
      <w:jc w:val="left"/>
    </w:pPr>
    <w:rPr>
      <w:sz w:val="18"/>
      <w:szCs w:val="18"/>
    </w:rPr>
  </w:style>
  <w:style w:type="character" w:customStyle="1" w:styleId="Char1">
    <w:name w:val="页脚 Char"/>
    <w:link w:val="a6"/>
    <w:uiPriority w:val="99"/>
    <w:locked/>
    <w:rsid w:val="003E49B2"/>
    <w:rPr>
      <w:rFonts w:cs="Times New Roman"/>
      <w:sz w:val="18"/>
      <w:szCs w:val="18"/>
    </w:rPr>
  </w:style>
  <w:style w:type="paragraph" w:styleId="a7">
    <w:name w:val="Balloon Text"/>
    <w:basedOn w:val="a"/>
    <w:link w:val="Char2"/>
    <w:uiPriority w:val="99"/>
    <w:semiHidden/>
    <w:rsid w:val="00FB4BC0"/>
    <w:rPr>
      <w:sz w:val="18"/>
      <w:szCs w:val="18"/>
    </w:rPr>
  </w:style>
  <w:style w:type="character" w:customStyle="1" w:styleId="Char2">
    <w:name w:val="批注框文本 Char"/>
    <w:link w:val="a7"/>
    <w:uiPriority w:val="99"/>
    <w:semiHidden/>
    <w:locked/>
    <w:rsid w:val="00FB4BC0"/>
    <w:rPr>
      <w:rFonts w:cs="Times New Roman"/>
      <w:sz w:val="18"/>
      <w:szCs w:val="18"/>
    </w:rPr>
  </w:style>
  <w:style w:type="paragraph" w:styleId="a8">
    <w:name w:val="Normal (Web)"/>
    <w:basedOn w:val="a"/>
    <w:uiPriority w:val="99"/>
    <w:rsid w:val="00FB4BC0"/>
    <w:pPr>
      <w:widowControl/>
      <w:spacing w:before="100" w:beforeAutospacing="1" w:after="100" w:afterAutospacing="1"/>
      <w:jc w:val="left"/>
    </w:pPr>
    <w:rPr>
      <w:kern w:val="0"/>
      <w:sz w:val="24"/>
      <w:szCs w:val="20"/>
    </w:rPr>
  </w:style>
  <w:style w:type="character" w:styleId="a9">
    <w:name w:val="Hyperlink"/>
    <w:uiPriority w:val="99"/>
    <w:rsid w:val="006562AB"/>
    <w:rPr>
      <w:rFonts w:cs="Times New Roman"/>
      <w:color w:val="0000FF"/>
      <w:u w:val="single"/>
    </w:rPr>
  </w:style>
  <w:style w:type="character" w:styleId="aa">
    <w:name w:val="page number"/>
    <w:uiPriority w:val="99"/>
    <w:rsid w:val="005E0F00"/>
    <w:rPr>
      <w:rFonts w:cs="Times New Roman"/>
    </w:rPr>
  </w:style>
</w:styles>
</file>

<file path=word/webSettings.xml><?xml version="1.0" encoding="utf-8"?>
<w:webSettings xmlns:r="http://schemas.openxmlformats.org/officeDocument/2006/relationships" xmlns:w="http://schemas.openxmlformats.org/wordprocessingml/2006/main">
  <w:divs>
    <w:div w:id="1452742758">
      <w:marLeft w:val="0"/>
      <w:marRight w:val="0"/>
      <w:marTop w:val="0"/>
      <w:marBottom w:val="0"/>
      <w:divBdr>
        <w:top w:val="none" w:sz="0" w:space="0" w:color="auto"/>
        <w:left w:val="none" w:sz="0" w:space="0" w:color="auto"/>
        <w:bottom w:val="none" w:sz="0" w:space="0" w:color="auto"/>
        <w:right w:val="none" w:sz="0" w:space="0" w:color="auto"/>
      </w:divBdr>
    </w:div>
    <w:div w:id="1452742759">
      <w:marLeft w:val="0"/>
      <w:marRight w:val="0"/>
      <w:marTop w:val="0"/>
      <w:marBottom w:val="0"/>
      <w:divBdr>
        <w:top w:val="none" w:sz="0" w:space="0" w:color="auto"/>
        <w:left w:val="none" w:sz="0" w:space="0" w:color="auto"/>
        <w:bottom w:val="none" w:sz="0" w:space="0" w:color="auto"/>
        <w:right w:val="none" w:sz="0" w:space="0" w:color="auto"/>
      </w:divBdr>
    </w:div>
    <w:div w:id="1452742760">
      <w:marLeft w:val="0"/>
      <w:marRight w:val="0"/>
      <w:marTop w:val="0"/>
      <w:marBottom w:val="0"/>
      <w:divBdr>
        <w:top w:val="none" w:sz="0" w:space="0" w:color="auto"/>
        <w:left w:val="none" w:sz="0" w:space="0" w:color="auto"/>
        <w:bottom w:val="none" w:sz="0" w:space="0" w:color="auto"/>
        <w:right w:val="none" w:sz="0" w:space="0" w:color="auto"/>
      </w:divBdr>
    </w:div>
    <w:div w:id="1452742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科农秘〔2018〕497号</dc:title>
  <dc:creator>Windows 用户</dc:creator>
  <cp:lastModifiedBy>ygc</cp:lastModifiedBy>
  <cp:revision>2</cp:revision>
  <cp:lastPrinted>2018-08-31T01:42:00Z</cp:lastPrinted>
  <dcterms:created xsi:type="dcterms:W3CDTF">2018-09-03T00:13:00Z</dcterms:created>
  <dcterms:modified xsi:type="dcterms:W3CDTF">2018-09-03T00:13:00Z</dcterms:modified>
</cp:coreProperties>
</file>